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15" w:rsidRDefault="00696215" w:rsidP="00696215">
      <w:pPr>
        <w:pStyle w:val="Standard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312CCB" w:rsidRDefault="00312CCB" w:rsidP="00696215">
      <w:pPr>
        <w:pStyle w:val="Standard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p w:rsidR="00696215" w:rsidRPr="00696215" w:rsidRDefault="00C62C18" w:rsidP="00696215">
      <w:pPr>
        <w:pStyle w:val="Standard"/>
        <w:jc w:val="center"/>
        <w:rPr>
          <w:rFonts w:asciiTheme="minorHAnsi" w:hAnsiTheme="minorHAnsi" w:cs="Arial"/>
          <w:b/>
          <w:bCs/>
          <w:caps/>
          <w:sz w:val="28"/>
          <w:szCs w:val="28"/>
        </w:rPr>
      </w:pPr>
      <w:r>
        <w:rPr>
          <w:rFonts w:asciiTheme="minorHAnsi" w:hAnsiTheme="minorHAnsi" w:cs="Arial"/>
          <w:b/>
          <w:bCs/>
          <w:caps/>
          <w:sz w:val="28"/>
          <w:szCs w:val="28"/>
        </w:rPr>
        <w:t>Výzva k podání nabídky A PROKÁZÁNÍ SPLNĚNÍ KVALIFIKACE</w:t>
      </w:r>
    </w:p>
    <w:tbl>
      <w:tblPr>
        <w:tblW w:w="9374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779"/>
      </w:tblGrid>
      <w:tr w:rsidR="00696215" w:rsidRPr="00696215" w:rsidTr="00651BA6">
        <w:tc>
          <w:tcPr>
            <w:tcW w:w="3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215" w:rsidRPr="00696215" w:rsidRDefault="00C62C18" w:rsidP="00696215">
            <w:pPr>
              <w:pStyle w:val="mntNormln"/>
              <w:numPr>
                <w:ilvl w:val="0"/>
                <w:numId w:val="18"/>
              </w:numPr>
              <w:tabs>
                <w:tab w:val="left" w:pos="35"/>
                <w:tab w:val="left" w:pos="395"/>
              </w:tabs>
              <w:snapToGrid w:val="0"/>
              <w:ind w:left="35" w:right="-1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 w:rsidR="00696215" w:rsidRPr="00696215">
              <w:rPr>
                <w:rFonts w:asciiTheme="minorHAnsi" w:hAnsiTheme="minorHAnsi"/>
                <w:sz w:val="22"/>
                <w:szCs w:val="22"/>
              </w:rPr>
              <w:t xml:space="preserve"> zakázky</w:t>
            </w:r>
            <w:proofErr w:type="gramEnd"/>
            <w:r w:rsidR="00696215" w:rsidRPr="0069621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96215" w:rsidRPr="00696215" w:rsidRDefault="00E25B57" w:rsidP="00651BA6">
            <w:pPr>
              <w:snapToGrid w:val="0"/>
              <w:jc w:val="both"/>
            </w:pPr>
            <w:r>
              <w:rPr>
                <w:rFonts w:cs="Arial"/>
                <w:b/>
                <w:bCs/>
              </w:rPr>
              <w:t>Výstavba multifunkčního hřiště v Liběšicích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96215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Identifikační údaje o zadavateli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Název: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E25B57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 Liběšice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Sídlo: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E25B57" w:rsidP="00696215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Liběšice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89, 439 63, Liběšice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IČ: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E25B57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00483095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96215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Druh veřejné zakázky: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stavební práce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Forma zadávacího řízení:</w:t>
            </w:r>
          </w:p>
        </w:tc>
        <w:tc>
          <w:tcPr>
            <w:tcW w:w="5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15" w:rsidRPr="00696215" w:rsidRDefault="00C62C18" w:rsidP="00696215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Nejedná se o zadávací řízení dle zákona č. 134/2016 Sb.</w:t>
            </w:r>
          </w:p>
        </w:tc>
      </w:tr>
    </w:tbl>
    <w:p w:rsidR="00696215" w:rsidRPr="00696215" w:rsidRDefault="00696215" w:rsidP="00696215">
      <w:pPr>
        <w:pStyle w:val="western"/>
        <w:spacing w:before="0" w:after="0"/>
        <w:jc w:val="center"/>
        <w:rPr>
          <w:rFonts w:asciiTheme="minorHAnsi" w:hAnsiTheme="minorHAnsi"/>
          <w:caps/>
          <w:sz w:val="22"/>
          <w:szCs w:val="22"/>
        </w:rPr>
      </w:pPr>
    </w:p>
    <w:p w:rsidR="00607077" w:rsidRPr="00607077" w:rsidRDefault="00607077" w:rsidP="00607077"/>
    <w:p w:rsidR="00607077" w:rsidRPr="00824AF6" w:rsidRDefault="00607077" w:rsidP="00824AF6">
      <w:pPr>
        <w:spacing w:after="0"/>
        <w:rPr>
          <w:b/>
        </w:rPr>
      </w:pPr>
      <w:r w:rsidRPr="00824AF6">
        <w:rPr>
          <w:b/>
        </w:rPr>
        <w:t>Zadavatel:</w:t>
      </w:r>
    </w:p>
    <w:p w:rsidR="00607077" w:rsidRPr="00607077" w:rsidRDefault="00E25B57" w:rsidP="00824AF6">
      <w:pPr>
        <w:spacing w:after="0"/>
      </w:pPr>
      <w:r>
        <w:t>Obec Liběšice</w:t>
      </w:r>
    </w:p>
    <w:p w:rsidR="00607077" w:rsidRPr="00607077" w:rsidRDefault="00E25B57" w:rsidP="00824AF6">
      <w:pPr>
        <w:spacing w:after="0"/>
      </w:pPr>
      <w:r>
        <w:t xml:space="preserve">Liběšice </w:t>
      </w:r>
      <w:proofErr w:type="gramStart"/>
      <w:r>
        <w:t>č.p.</w:t>
      </w:r>
      <w:proofErr w:type="gramEnd"/>
      <w:r>
        <w:t xml:space="preserve"> 89, 439 63, Liběšice</w:t>
      </w:r>
    </w:p>
    <w:p w:rsidR="00607077" w:rsidRPr="00607077" w:rsidRDefault="00607077" w:rsidP="00824AF6">
      <w:pPr>
        <w:spacing w:after="0"/>
      </w:pPr>
      <w:r w:rsidRPr="00607077">
        <w:t xml:space="preserve">IČ: </w:t>
      </w:r>
      <w:r w:rsidR="00E25B57">
        <w:t>00483095</w:t>
      </w:r>
    </w:p>
    <w:p w:rsidR="00607077" w:rsidRPr="00607077" w:rsidRDefault="00607077" w:rsidP="00824AF6">
      <w:pPr>
        <w:spacing w:after="0"/>
      </w:pPr>
      <w:r w:rsidRPr="00607077">
        <w:t xml:space="preserve">tel: </w:t>
      </w:r>
      <w:r w:rsidR="00E25B57">
        <w:t>415 725 060</w:t>
      </w:r>
      <w:r w:rsidR="008C41DE">
        <w:t xml:space="preserve">   </w:t>
      </w:r>
    </w:p>
    <w:p w:rsidR="00607077" w:rsidRPr="00607077" w:rsidRDefault="00607077" w:rsidP="00824AF6">
      <w:pPr>
        <w:spacing w:after="0"/>
      </w:pPr>
      <w:r w:rsidRPr="00607077">
        <w:t xml:space="preserve">Adresa sídla: </w:t>
      </w:r>
      <w:r w:rsidRPr="00607077">
        <w:tab/>
      </w:r>
      <w:r w:rsidRPr="00607077">
        <w:tab/>
      </w:r>
      <w:r w:rsidR="00E25B57">
        <w:t xml:space="preserve">Liběšice </w:t>
      </w:r>
      <w:proofErr w:type="gramStart"/>
      <w:r w:rsidR="00E25B57">
        <w:t>č.p.</w:t>
      </w:r>
      <w:proofErr w:type="gramEnd"/>
      <w:r w:rsidR="00E25B57">
        <w:t xml:space="preserve"> 89, 439 63, Liběšice</w:t>
      </w:r>
    </w:p>
    <w:p w:rsidR="00607077" w:rsidRPr="00607077" w:rsidRDefault="00607077" w:rsidP="00824AF6">
      <w:pPr>
        <w:spacing w:after="0"/>
      </w:pPr>
      <w:r w:rsidRPr="00607077">
        <w:t xml:space="preserve">Doručovací adresa: </w:t>
      </w:r>
      <w:r w:rsidRPr="00607077">
        <w:tab/>
      </w:r>
      <w:r w:rsidR="00E25B57">
        <w:t xml:space="preserve">Liběšice </w:t>
      </w:r>
      <w:proofErr w:type="gramStart"/>
      <w:r w:rsidR="00E25B57">
        <w:t>č.p.</w:t>
      </w:r>
      <w:proofErr w:type="gramEnd"/>
      <w:r w:rsidR="00E25B57">
        <w:t xml:space="preserve"> 89, 439 63, Liběšice</w:t>
      </w:r>
    </w:p>
    <w:p w:rsidR="00607077" w:rsidRDefault="00607077" w:rsidP="00824AF6">
      <w:pPr>
        <w:spacing w:after="0"/>
      </w:pPr>
    </w:p>
    <w:p w:rsidR="00B96EC9" w:rsidRPr="00607077" w:rsidRDefault="00B96EC9" w:rsidP="00824AF6">
      <w:pPr>
        <w:spacing w:after="0"/>
      </w:pPr>
    </w:p>
    <w:p w:rsidR="00607077" w:rsidRPr="00824AF6" w:rsidRDefault="00607077" w:rsidP="00824AF6">
      <w:pPr>
        <w:spacing w:after="0"/>
        <w:rPr>
          <w:b/>
        </w:rPr>
      </w:pPr>
      <w:r w:rsidRPr="00824AF6">
        <w:rPr>
          <w:b/>
        </w:rPr>
        <w:t>Osoby oprávněné za zadavatele jednat:</w:t>
      </w:r>
    </w:p>
    <w:p w:rsidR="00607077" w:rsidRPr="00607077" w:rsidRDefault="00E25B57" w:rsidP="00824AF6">
      <w:pPr>
        <w:spacing w:after="0"/>
      </w:pPr>
      <w:r>
        <w:t>Bc. Petr Valenta, MBA – starosta obce</w:t>
      </w:r>
    </w:p>
    <w:p w:rsidR="00607077" w:rsidRDefault="00607077" w:rsidP="00824AF6">
      <w:pPr>
        <w:spacing w:after="0"/>
      </w:pPr>
    </w:p>
    <w:p w:rsidR="00B96EC9" w:rsidRPr="00607077" w:rsidRDefault="00B96EC9" w:rsidP="00824AF6">
      <w:pPr>
        <w:spacing w:after="0"/>
      </w:pPr>
    </w:p>
    <w:p w:rsidR="00607077" w:rsidRDefault="00CE0336" w:rsidP="00824AF6">
      <w:pPr>
        <w:spacing w:after="0"/>
        <w:rPr>
          <w:b/>
        </w:rPr>
      </w:pPr>
      <w:r>
        <w:rPr>
          <w:b/>
        </w:rPr>
        <w:t>Kontaktní osoba</w:t>
      </w:r>
      <w:r w:rsidR="00607077" w:rsidRPr="00824AF6">
        <w:rPr>
          <w:b/>
        </w:rPr>
        <w:t>:</w:t>
      </w:r>
    </w:p>
    <w:p w:rsidR="00CE0336" w:rsidRPr="00E25B57" w:rsidRDefault="00E25B57" w:rsidP="00824AF6">
      <w:pPr>
        <w:spacing w:after="0"/>
      </w:pPr>
      <w:r>
        <w:t>Bc. Petr Valenta, MB</w:t>
      </w:r>
      <w:r w:rsidR="0004557F">
        <w:t>A – starosta obce</w:t>
      </w:r>
      <w:r w:rsidR="00CE0336">
        <w:t>,</w:t>
      </w:r>
      <w:r>
        <w:t xml:space="preserve"> tel. 415 725 060,</w:t>
      </w:r>
      <w:r w:rsidR="00CE0336">
        <w:t xml:space="preserve"> </w:t>
      </w:r>
      <w:proofErr w:type="gramStart"/>
      <w:r w:rsidR="00CE0336">
        <w:t xml:space="preserve">email : </w:t>
      </w:r>
      <w:proofErr w:type="spellStart"/>
      <w:r>
        <w:t>obeclibesice</w:t>
      </w:r>
      <w:proofErr w:type="spellEnd"/>
      <w:r>
        <w:rPr>
          <w:lang w:val="en-US"/>
        </w:rPr>
        <w:t>@</w:t>
      </w:r>
      <w:r>
        <w:t>seznam</w:t>
      </w:r>
      <w:proofErr w:type="gramEnd"/>
      <w:r>
        <w:t>.cz</w:t>
      </w:r>
    </w:p>
    <w:p w:rsidR="00C62C18" w:rsidRDefault="00C62C18" w:rsidP="00824AF6">
      <w:pPr>
        <w:spacing w:after="0"/>
      </w:pPr>
    </w:p>
    <w:p w:rsidR="00C62C18" w:rsidRDefault="00C62C18" w:rsidP="00824AF6">
      <w:pPr>
        <w:spacing w:after="0"/>
      </w:pPr>
    </w:p>
    <w:p w:rsidR="00C62C18" w:rsidRDefault="00C62C18" w:rsidP="00824AF6">
      <w:pPr>
        <w:spacing w:after="0"/>
        <w:rPr>
          <w:b/>
        </w:rPr>
      </w:pPr>
      <w:proofErr w:type="gramStart"/>
      <w:r>
        <w:rPr>
          <w:b/>
        </w:rPr>
        <w:t>Přílohy :</w:t>
      </w:r>
      <w:proofErr w:type="gramEnd"/>
    </w:p>
    <w:p w:rsidR="00C62C18" w:rsidRDefault="00C62C18" w:rsidP="00C62C18">
      <w:pPr>
        <w:pStyle w:val="Odstavecseseznamem"/>
        <w:numPr>
          <w:ilvl w:val="0"/>
          <w:numId w:val="21"/>
        </w:numPr>
        <w:spacing w:after="0"/>
      </w:pPr>
      <w:r>
        <w:t>Vzor krycího listu nabídky</w:t>
      </w:r>
    </w:p>
    <w:p w:rsidR="00C62C18" w:rsidRDefault="00C62C18" w:rsidP="00E25B57">
      <w:pPr>
        <w:pStyle w:val="Odstavecseseznamem"/>
        <w:numPr>
          <w:ilvl w:val="0"/>
          <w:numId w:val="21"/>
        </w:numPr>
        <w:spacing w:after="0"/>
      </w:pPr>
      <w:r>
        <w:t>Vzor čestného prohlášení o splnění podmínek základní způsobilosti</w:t>
      </w:r>
    </w:p>
    <w:p w:rsidR="00C62C18" w:rsidRDefault="00C62C18" w:rsidP="00C62C18">
      <w:pPr>
        <w:pStyle w:val="Odstavecseseznamem"/>
        <w:numPr>
          <w:ilvl w:val="0"/>
          <w:numId w:val="21"/>
        </w:numPr>
        <w:spacing w:after="0"/>
      </w:pPr>
      <w:r>
        <w:t>Výkaz výměr</w:t>
      </w:r>
    </w:p>
    <w:p w:rsidR="0032339B" w:rsidRPr="00C62C18" w:rsidRDefault="0032339B" w:rsidP="0004557F">
      <w:pPr>
        <w:spacing w:after="0"/>
      </w:pPr>
    </w:p>
    <w:p w:rsidR="00607077" w:rsidRDefault="00607077" w:rsidP="00CE0336">
      <w:pPr>
        <w:spacing w:after="0"/>
      </w:pPr>
    </w:p>
    <w:p w:rsidR="00B96EC9" w:rsidRPr="00607077" w:rsidRDefault="00B96EC9" w:rsidP="00607077"/>
    <w:p w:rsidR="00607077" w:rsidRPr="002C6571" w:rsidRDefault="00607077" w:rsidP="00607077">
      <w:pPr>
        <w:rPr>
          <w:b/>
          <w:sz w:val="24"/>
          <w:szCs w:val="24"/>
        </w:rPr>
      </w:pPr>
      <w:proofErr w:type="gramStart"/>
      <w:r w:rsidRPr="002C6571">
        <w:rPr>
          <w:b/>
          <w:sz w:val="24"/>
          <w:szCs w:val="24"/>
        </w:rPr>
        <w:t>1.Vymezení</w:t>
      </w:r>
      <w:proofErr w:type="gramEnd"/>
      <w:r w:rsidRPr="002C6571">
        <w:rPr>
          <w:b/>
          <w:sz w:val="24"/>
          <w:szCs w:val="24"/>
        </w:rPr>
        <w:t xml:space="preserve"> předmětu veřejné zakázky a jeho technická specifikace</w:t>
      </w:r>
    </w:p>
    <w:p w:rsidR="00607077" w:rsidRPr="00607077" w:rsidRDefault="00607077" w:rsidP="00F24DB4">
      <w:pPr>
        <w:jc w:val="both"/>
      </w:pPr>
      <w:r w:rsidRPr="00607077">
        <w:t xml:space="preserve">Předmětem plnění veřejné zakázky je </w:t>
      </w:r>
      <w:r w:rsidR="00F10094">
        <w:t>provedení stav</w:t>
      </w:r>
      <w:r w:rsidR="00E25B57">
        <w:t xml:space="preserve">ebních prací – realizace akce „Výstavba multifunkčního hřiště v Liběšicích“  na pozemku </w:t>
      </w:r>
      <w:proofErr w:type="spellStart"/>
      <w:proofErr w:type="gramStart"/>
      <w:r w:rsidR="0032339B">
        <w:t>p.</w:t>
      </w:r>
      <w:r w:rsidR="00E25B57">
        <w:t>č</w:t>
      </w:r>
      <w:proofErr w:type="spellEnd"/>
      <w:r w:rsidR="0004557F">
        <w:t>.</w:t>
      </w:r>
      <w:proofErr w:type="gramEnd"/>
      <w:r w:rsidR="0004557F">
        <w:t xml:space="preserve"> 1530/1, katastrální území Liběšice</w:t>
      </w:r>
    </w:p>
    <w:p w:rsidR="00607077" w:rsidRPr="00607077" w:rsidRDefault="002F126A" w:rsidP="00B96EC9">
      <w:pPr>
        <w:jc w:val="both"/>
      </w:pPr>
      <w:r>
        <w:t xml:space="preserve"> Veškeré</w:t>
      </w:r>
      <w:r w:rsidR="00F24DB4">
        <w:t xml:space="preserve"> práce</w:t>
      </w:r>
      <w:r>
        <w:t xml:space="preserve"> související s předmětem shora uvedené veřejné zakázky</w:t>
      </w:r>
      <w:r w:rsidR="00F24DB4">
        <w:t xml:space="preserve"> musí být provedeny v sou</w:t>
      </w:r>
      <w:r>
        <w:t>ladu se soupisem prací, který</w:t>
      </w:r>
      <w:r w:rsidR="00B96EC9">
        <w:t xml:space="preserve"> specifikuje veške</w:t>
      </w:r>
      <w:r>
        <w:t xml:space="preserve">ré práce veřejné zakázky.  Soupis prací - výkaz výměr, který </w:t>
      </w:r>
      <w:proofErr w:type="gramStart"/>
      <w:r>
        <w:t>je</w:t>
      </w:r>
      <w:proofErr w:type="gramEnd"/>
      <w:r w:rsidR="00B96EC9">
        <w:t xml:space="preserve"> př</w:t>
      </w:r>
      <w:r>
        <w:t>edmětem plnění veřejné zakázky</w:t>
      </w:r>
      <w:r w:rsidR="00B96EC9">
        <w:t xml:space="preserve"> je sa</w:t>
      </w:r>
      <w:r w:rsidR="007B640A">
        <w:t xml:space="preserve">mostatnou přílohou této výzvy. </w:t>
      </w:r>
    </w:p>
    <w:p w:rsidR="007B640A" w:rsidRPr="00C62C18" w:rsidRDefault="007B640A" w:rsidP="00607077">
      <w:pPr>
        <w:rPr>
          <w:b/>
        </w:rPr>
      </w:pPr>
    </w:p>
    <w:p w:rsidR="00607077" w:rsidRDefault="00C62C18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2.Termín</w:t>
      </w:r>
      <w:proofErr w:type="gramEnd"/>
      <w:r>
        <w:rPr>
          <w:b/>
          <w:sz w:val="24"/>
          <w:szCs w:val="24"/>
        </w:rPr>
        <w:t xml:space="preserve"> plnění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Předpokládaný datum zahájení </w:t>
      </w:r>
      <w:proofErr w:type="gramStart"/>
      <w:r>
        <w:rPr>
          <w:sz w:val="24"/>
          <w:szCs w:val="24"/>
        </w:rPr>
        <w:t>plnění :</w:t>
      </w:r>
      <w:r w:rsidR="001E70CF">
        <w:rPr>
          <w:sz w:val="24"/>
          <w:szCs w:val="24"/>
        </w:rPr>
        <w:t xml:space="preserve"> duben</w:t>
      </w:r>
      <w:proofErr w:type="gramEnd"/>
      <w:r w:rsidR="001E70CF">
        <w:rPr>
          <w:sz w:val="24"/>
          <w:szCs w:val="24"/>
        </w:rPr>
        <w:t xml:space="preserve"> 2018</w:t>
      </w:r>
    </w:p>
    <w:p w:rsidR="00E45242" w:rsidRDefault="00E45242" w:rsidP="001E70CF">
      <w:pPr>
        <w:rPr>
          <w:sz w:val="24"/>
          <w:szCs w:val="24"/>
        </w:rPr>
      </w:pPr>
      <w:r>
        <w:rPr>
          <w:sz w:val="24"/>
          <w:szCs w:val="24"/>
        </w:rPr>
        <w:t>Lhůta plnění :</w:t>
      </w:r>
      <w:r w:rsidR="001E70CF">
        <w:rPr>
          <w:sz w:val="24"/>
          <w:szCs w:val="24"/>
        </w:rPr>
        <w:t xml:space="preserve"> 10 týdnů, do </w:t>
      </w:r>
      <w:proofErr w:type="gramStart"/>
      <w:r w:rsidR="001E70CF">
        <w:rPr>
          <w:sz w:val="24"/>
          <w:szCs w:val="24"/>
        </w:rPr>
        <w:t>30.6.2018</w:t>
      </w:r>
      <w:proofErr w:type="gramEnd"/>
    </w:p>
    <w:p w:rsidR="00E45242" w:rsidRDefault="00E45242" w:rsidP="00607077">
      <w:pPr>
        <w:rPr>
          <w:sz w:val="24"/>
          <w:szCs w:val="24"/>
        </w:rPr>
      </w:pPr>
    </w:p>
    <w:p w:rsidR="00E45242" w:rsidRDefault="00E45242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3.Předpokládaná</w:t>
      </w:r>
      <w:proofErr w:type="gramEnd"/>
      <w:r>
        <w:rPr>
          <w:b/>
          <w:sz w:val="24"/>
          <w:szCs w:val="24"/>
        </w:rPr>
        <w:t xml:space="preserve"> hodnota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hodnota veřejné </w:t>
      </w:r>
      <w:proofErr w:type="gramStart"/>
      <w:r>
        <w:rPr>
          <w:sz w:val="24"/>
          <w:szCs w:val="24"/>
        </w:rPr>
        <w:t>zakázky :</w:t>
      </w:r>
      <w:r w:rsidR="0004557F">
        <w:rPr>
          <w:sz w:val="24"/>
          <w:szCs w:val="24"/>
        </w:rPr>
        <w:t xml:space="preserve"> 1 000 000</w:t>
      </w:r>
      <w:proofErr w:type="gramEnd"/>
      <w:r w:rsidR="0004557F">
        <w:rPr>
          <w:sz w:val="24"/>
          <w:szCs w:val="24"/>
        </w:rPr>
        <w:t xml:space="preserve"> – 2 000 000,</w:t>
      </w:r>
      <w:r w:rsidR="002F126A">
        <w:rPr>
          <w:sz w:val="24"/>
          <w:szCs w:val="24"/>
        </w:rPr>
        <w:t>- Kč bez DPH</w:t>
      </w:r>
    </w:p>
    <w:p w:rsidR="00E45242" w:rsidRDefault="00E45242" w:rsidP="00607077">
      <w:pPr>
        <w:rPr>
          <w:sz w:val="24"/>
          <w:szCs w:val="24"/>
        </w:rPr>
      </w:pPr>
    </w:p>
    <w:p w:rsidR="00E45242" w:rsidRDefault="00E45242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4.Místo</w:t>
      </w:r>
      <w:proofErr w:type="gramEnd"/>
      <w:r>
        <w:rPr>
          <w:b/>
          <w:sz w:val="24"/>
          <w:szCs w:val="24"/>
        </w:rPr>
        <w:t xml:space="preserve"> plnění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Místem </w:t>
      </w:r>
      <w:r w:rsidR="0004557F">
        <w:rPr>
          <w:sz w:val="24"/>
          <w:szCs w:val="24"/>
        </w:rPr>
        <w:t>plnění této veřejné zakázky jsou Liběšice</w:t>
      </w:r>
    </w:p>
    <w:p w:rsidR="00E45242" w:rsidRDefault="00E45242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nebude pořádat organizovanou prohlídku místa plnění. Prohlídku je možné předem dohodnout s kontaktní osobou uvedenou v úvodu této výzvy. Zadavatel doporučuje dodavateli navštívit a důkladně si prohlédnout místo prací, aby mohl na vlastní odpovědnost posoudit náklady, míru rizika, faktory, faktory nezbytné pro vypracování nabídky a podepsání smlouvy.</w:t>
      </w:r>
    </w:p>
    <w:p w:rsidR="00E45242" w:rsidRDefault="00E45242" w:rsidP="00E45242">
      <w:pPr>
        <w:jc w:val="both"/>
        <w:rPr>
          <w:sz w:val="24"/>
          <w:szCs w:val="24"/>
        </w:rPr>
      </w:pPr>
    </w:p>
    <w:p w:rsidR="00E45242" w:rsidRDefault="00E45242" w:rsidP="00E452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5.Průběh</w:t>
      </w:r>
      <w:proofErr w:type="gramEnd"/>
      <w:r>
        <w:rPr>
          <w:b/>
          <w:sz w:val="24"/>
          <w:szCs w:val="24"/>
        </w:rPr>
        <w:t xml:space="preserve"> výběrového řízení</w:t>
      </w:r>
    </w:p>
    <w:p w:rsidR="00E45242" w:rsidRDefault="00E45242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Po uplynutí lhůty pro podání nabídek zadavatel otevře podané obálky a posoudí splnění kvalifikace dodavatelů podle této výzvy, kteří</w:t>
      </w:r>
      <w:r w:rsidR="004B1905">
        <w:rPr>
          <w:sz w:val="24"/>
          <w:szCs w:val="24"/>
        </w:rPr>
        <w:t xml:space="preserve"> ve lhůtě pro podání nabídek podali nabídku v tomto výběrovém řízení.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Dodavatelé, kteří neprokážou splnění kvalifikačních předpokladů v rozsahu a způsobem požadovaným zadavatelem, a kteří tento nedostatek neodstraní ani v dodatečně přiměřené lhůtě stanovené zadavatelem, zadavatel z výběrového řízení vyloučí.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Nabídky dodavatelů, kteří nebyli vyloučeni, bude zadavate</w:t>
      </w:r>
      <w:r w:rsidR="002F126A">
        <w:rPr>
          <w:sz w:val="24"/>
          <w:szCs w:val="24"/>
        </w:rPr>
        <w:t xml:space="preserve">l hodnotit postupem podle bodu 7 </w:t>
      </w:r>
      <w:r>
        <w:rPr>
          <w:sz w:val="24"/>
          <w:szCs w:val="24"/>
        </w:rPr>
        <w:t>této výzvy.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Dodavatel, </w:t>
      </w:r>
      <w:r w:rsidR="002F126A">
        <w:rPr>
          <w:sz w:val="24"/>
          <w:szCs w:val="24"/>
        </w:rPr>
        <w:t>jehož nabídka bude podle bodu 7</w:t>
      </w:r>
      <w:r>
        <w:rPr>
          <w:sz w:val="24"/>
          <w:szCs w:val="24"/>
        </w:rPr>
        <w:t xml:space="preserve"> této výzvy vybrána, bude zadavatelem vyzván k</w:t>
      </w:r>
      <w:r w:rsidR="008866C5">
        <w:rPr>
          <w:sz w:val="24"/>
          <w:szCs w:val="24"/>
        </w:rPr>
        <w:t> uzavření Smlouvy o dílo.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takto vybraný dodavatel odmítne se zadavatelem uzavřít shora uvedenou smlouvu, vyzve zadavatel k uzavření této smlouvy dodavatele, který se umístil za dodavatelem, který odmítl uzavřít tuto smlouvu.</w:t>
      </w:r>
    </w:p>
    <w:p w:rsidR="009A5D9C" w:rsidRDefault="009A5D9C" w:rsidP="00E45242">
      <w:pPr>
        <w:jc w:val="both"/>
        <w:rPr>
          <w:sz w:val="24"/>
          <w:szCs w:val="24"/>
        </w:rPr>
      </w:pPr>
    </w:p>
    <w:p w:rsidR="009A5D9C" w:rsidRPr="007A5F6A" w:rsidRDefault="009A5D9C" w:rsidP="007A5F6A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7A5F6A">
        <w:rPr>
          <w:b/>
          <w:sz w:val="24"/>
          <w:szCs w:val="24"/>
        </w:rPr>
        <w:t>Požadavky na prokázání kvalifikace</w:t>
      </w:r>
    </w:p>
    <w:p w:rsidR="009A5D9C" w:rsidRDefault="009A5D9C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Kvalifikovaným pro plnění veřejné zakázky je dodavatel, </w:t>
      </w:r>
      <w:proofErr w:type="gramStart"/>
      <w:r>
        <w:rPr>
          <w:sz w:val="24"/>
          <w:szCs w:val="24"/>
        </w:rPr>
        <w:t>který :</w:t>
      </w:r>
      <w:proofErr w:type="gramEnd"/>
    </w:p>
    <w:p w:rsidR="009A5D9C" w:rsidRDefault="009A5D9C" w:rsidP="009A5D9C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Prokáže základní způsobilost (základní kvalifikace)</w:t>
      </w:r>
    </w:p>
    <w:p w:rsidR="009A5D9C" w:rsidRDefault="009A5D9C" w:rsidP="009A5D9C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Prokáže profesní způsobilost (profesní kvalifikace)</w:t>
      </w:r>
    </w:p>
    <w:p w:rsidR="000A3EA3" w:rsidRPr="00FD528C" w:rsidRDefault="000A3EA3" w:rsidP="000A3EA3">
      <w:pPr>
        <w:tabs>
          <w:tab w:val="left" w:pos="1134"/>
        </w:tabs>
        <w:spacing w:before="120" w:after="0"/>
        <w:ind w:firstLine="567"/>
        <w:rPr>
          <w:rFonts w:cs="Calibri"/>
          <w:b/>
        </w:rPr>
      </w:pPr>
      <w:r>
        <w:rPr>
          <w:rFonts w:cs="Calibri"/>
          <w:b/>
        </w:rPr>
        <w:lastRenderedPageBreak/>
        <w:t>6</w:t>
      </w:r>
      <w:r w:rsidRPr="00FD528C">
        <w:rPr>
          <w:rFonts w:cs="Calibri"/>
          <w:b/>
        </w:rPr>
        <w:t>.1</w:t>
      </w:r>
      <w:r w:rsidRPr="00FD528C">
        <w:rPr>
          <w:rFonts w:cs="Calibri"/>
          <w:b/>
        </w:rPr>
        <w:tab/>
        <w:t xml:space="preserve">Základní kvalifikaci </w:t>
      </w:r>
      <w:r w:rsidRPr="00FD528C">
        <w:rPr>
          <w:rFonts w:cs="Calibri"/>
        </w:rPr>
        <w:t>splňuje dodavatel:</w:t>
      </w:r>
      <w:r w:rsidRPr="00FD528C">
        <w:rPr>
          <w:rFonts w:cs="Calibri"/>
          <w:b/>
        </w:rPr>
        <w:t xml:space="preserve">  </w:t>
      </w:r>
    </w:p>
    <w:p w:rsidR="000A3EA3" w:rsidRDefault="000A3EA3" w:rsidP="000A3EA3">
      <w:pPr>
        <w:numPr>
          <w:ilvl w:val="0"/>
          <w:numId w:val="27"/>
        </w:numPr>
        <w:spacing w:after="0" w:line="276" w:lineRule="auto"/>
        <w:ind w:left="1418" w:hanging="284"/>
        <w:jc w:val="both"/>
      </w:pPr>
      <w:r>
        <w:t>který nebyl pravomocně odsouzen pro trestný čin spáchaný ve prospěch organizované zločinecké skupiny nebo trestný čin účasti na organizované zločinecké skupině, trestný čin obchodování s lidmi, trestné činy proti majetku (podvod, úvěrový podvod, dotační podvod, podílnictví, podílnictví z nedbalosti, legalizace výnosů z trestné činnosti, legalizace výnosů z trestné činnosti z nedbalosti), 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moci).</w:t>
      </w:r>
    </w:p>
    <w:p w:rsidR="000A3EA3" w:rsidRDefault="000A3EA3" w:rsidP="000A3EA3">
      <w:pPr>
        <w:spacing w:before="60"/>
        <w:ind w:left="1134"/>
        <w:jc w:val="both"/>
      </w:pPr>
      <w:r>
        <w:t xml:space="preserve">Je-li dodavatelem právnická osoba, musí tento předpoklad splňovat jak tato právnická osoba, tak zároveň každý člen statutárního orgánu, a je-li členem statutárního orgánu dodavatele právnická osoba, musí podmínku dle bodu a) splňovat jak tato právnická osoba, tak každý člen statutárního orgánu této právnické osoby a osoba zastupující tuto právnickou osobu ve statutárním orgánu dodavatele. </w:t>
      </w:r>
    </w:p>
    <w:p w:rsidR="000A3EA3" w:rsidRDefault="000A3EA3" w:rsidP="000A3EA3">
      <w:pPr>
        <w:spacing w:before="60"/>
        <w:ind w:left="1134"/>
        <w:jc w:val="both"/>
      </w:pPr>
      <w:r>
        <w:t>Účastní-li se zadávacího řízení pobočka závodu české právnické osoby, musí podmínku dle bodu a) splňovat vedle uvedených osob rovněž vedoucí této pobočky.</w:t>
      </w:r>
    </w:p>
    <w:p w:rsidR="000A3EA3" w:rsidRDefault="000A3EA3" w:rsidP="000A3EA3">
      <w:pPr>
        <w:spacing w:before="60" w:after="120"/>
        <w:ind w:left="1134"/>
        <w:jc w:val="both"/>
      </w:pPr>
      <w:r>
        <w:t>Účastní-li se zadávacího řízení pobočka závodu zahraniční právnické osoby, musí podmínku dle bodu a) splňovat rovněž tato právnická osoba a vedoucí této pobočky.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 xml:space="preserve">nemá v České republice nebo zemi svého sídla v evidenci daní zachycen splatný daňový nedoplatek, 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>nemá v České republice nebo zemí svého sídla splatný nedoplatek na pojistném nebo na penále na veřejné zdravotní pojištění,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>nemá v České republice nebo zemi svého sídla splatný nedoplatek na pojistném nebo na penále na sociální zabezpečení a příspěvku na státní politiku zaměstnanosti,</w:t>
      </w:r>
    </w:p>
    <w:p w:rsidR="000A3EA3" w:rsidRPr="004F1D7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 xml:space="preserve">není v likvidaci, není proti němu vydáno rozhodnutí o úpadku, není vůči němu nařízena nucená správa podle jiného právního předpisu nebo v obdobné situaci podle právního řádu země dodavatele. </w:t>
      </w:r>
    </w:p>
    <w:p w:rsidR="000A3EA3" w:rsidRPr="0080156C" w:rsidRDefault="000A3EA3" w:rsidP="000A3EA3">
      <w:pPr>
        <w:tabs>
          <w:tab w:val="num" w:pos="567"/>
        </w:tabs>
        <w:spacing w:before="120" w:after="240"/>
        <w:ind w:left="567"/>
        <w:jc w:val="both"/>
      </w:pPr>
      <w:r>
        <w:t>Dodavatel</w:t>
      </w:r>
      <w:r w:rsidRPr="00FF7917">
        <w:t xml:space="preserve"> prokazuje splnění základní </w:t>
      </w:r>
      <w:r>
        <w:t>způsobilosti</w:t>
      </w:r>
      <w:r w:rsidRPr="00FF7917">
        <w:t xml:space="preserve"> podle odstavce </w:t>
      </w:r>
      <w:r>
        <w:t>7.</w:t>
      </w:r>
      <w:r w:rsidRPr="00FF7917">
        <w:t>1 předložením</w:t>
      </w:r>
      <w:r>
        <w:t xml:space="preserve"> originálu </w:t>
      </w:r>
      <w:r w:rsidRPr="00FF7917">
        <w:t>čestného prohlášení.</w:t>
      </w:r>
      <w:r w:rsidRPr="00337B05">
        <w:t xml:space="preserve"> </w:t>
      </w:r>
      <w:r w:rsidRPr="00C930C4">
        <w:t>Tento doklad nesmí být k termínu podání nabídek starší 90</w:t>
      </w:r>
      <w:r>
        <w:t> </w:t>
      </w:r>
      <w:r w:rsidRPr="0080156C">
        <w:t xml:space="preserve">kalendářních dnů. Vzor čestného prohlášení je uveden v příloze č. 2 této výzvy. </w:t>
      </w:r>
      <w:r>
        <w:t xml:space="preserve">Čestné prohlášení musí být </w:t>
      </w:r>
      <w:r w:rsidRPr="0080156C">
        <w:rPr>
          <w:bCs/>
        </w:rPr>
        <w:t>podepsan</w:t>
      </w:r>
      <w:r>
        <w:rPr>
          <w:bCs/>
        </w:rPr>
        <w:t>é</w:t>
      </w:r>
      <w:r w:rsidRPr="0080156C">
        <w:rPr>
          <w:bCs/>
        </w:rPr>
        <w:t xml:space="preserve"> osobou oprávněnou jednat jménem či za </w:t>
      </w:r>
      <w:r>
        <w:rPr>
          <w:bCs/>
        </w:rPr>
        <w:t>dodavatele</w:t>
      </w:r>
      <w:r w:rsidRPr="0080156C">
        <w:rPr>
          <w:bCs/>
        </w:rPr>
        <w:t xml:space="preserve">, </w:t>
      </w:r>
      <w:r w:rsidRPr="0080156C">
        <w:t>a to způsobem uvedeným v příslušné listině prokazující způsob jednání.</w:t>
      </w:r>
    </w:p>
    <w:p w:rsidR="000A3EA3" w:rsidRPr="00C930C4" w:rsidRDefault="000A3EA3" w:rsidP="000A3EA3">
      <w:pPr>
        <w:tabs>
          <w:tab w:val="left" w:pos="993"/>
        </w:tabs>
        <w:spacing w:before="120" w:after="120"/>
        <w:ind w:left="567"/>
        <w:jc w:val="both"/>
      </w:pPr>
      <w:r>
        <w:rPr>
          <w:b/>
        </w:rPr>
        <w:t>6</w:t>
      </w:r>
      <w:r w:rsidRPr="00FD528C">
        <w:rPr>
          <w:b/>
        </w:rPr>
        <w:t>.2</w:t>
      </w:r>
      <w:r>
        <w:tab/>
      </w:r>
      <w:r w:rsidRPr="00FD528C">
        <w:rPr>
          <w:b/>
        </w:rPr>
        <w:t>Profesní způsobilost</w:t>
      </w:r>
      <w:r w:rsidRPr="00C930C4">
        <w:t xml:space="preserve"> splňuje </w:t>
      </w:r>
      <w:r>
        <w:t>dodavatel</w:t>
      </w:r>
      <w:r w:rsidRPr="00C930C4">
        <w:t>, který předloží:</w:t>
      </w:r>
    </w:p>
    <w:p w:rsidR="000A3EA3" w:rsidRPr="00C930C4" w:rsidRDefault="000A3EA3" w:rsidP="000A3EA3">
      <w:pPr>
        <w:numPr>
          <w:ilvl w:val="0"/>
          <w:numId w:val="25"/>
        </w:numPr>
        <w:tabs>
          <w:tab w:val="left" w:pos="1418"/>
        </w:tabs>
        <w:spacing w:before="120" w:after="120" w:line="276" w:lineRule="auto"/>
        <w:ind w:left="1418" w:hanging="284"/>
        <w:jc w:val="both"/>
        <w:rPr>
          <w:bCs/>
        </w:rPr>
      </w:pPr>
      <w:r w:rsidRPr="00C930C4">
        <w:rPr>
          <w:bCs/>
        </w:rPr>
        <w:t>výpis z obchod</w:t>
      </w:r>
      <w:r>
        <w:rPr>
          <w:bCs/>
        </w:rPr>
        <w:t>ního rejstříku nebo</w:t>
      </w:r>
      <w:r w:rsidRPr="00C930C4">
        <w:rPr>
          <w:bCs/>
        </w:rPr>
        <w:t xml:space="preserve"> jiné obdobné evidence, pokud </w:t>
      </w:r>
      <w:r>
        <w:rPr>
          <w:bCs/>
        </w:rPr>
        <w:t>jiný právní předpis zápis do takové evidence vyžaduje</w:t>
      </w:r>
      <w:r w:rsidRPr="00C930C4">
        <w:rPr>
          <w:bCs/>
        </w:rPr>
        <w:t>;</w:t>
      </w:r>
    </w:p>
    <w:p w:rsidR="000A3EA3" w:rsidRPr="000732FC" w:rsidRDefault="000A3EA3" w:rsidP="000A3EA3">
      <w:pPr>
        <w:numPr>
          <w:ilvl w:val="0"/>
          <w:numId w:val="25"/>
        </w:numPr>
        <w:tabs>
          <w:tab w:val="left" w:pos="1418"/>
        </w:tabs>
        <w:spacing w:before="120" w:after="0" w:line="276" w:lineRule="auto"/>
        <w:ind w:left="1418" w:hanging="284"/>
        <w:jc w:val="both"/>
        <w:rPr>
          <w:bCs/>
        </w:rPr>
      </w:pPr>
      <w:r w:rsidRPr="00C930C4">
        <w:lastRenderedPageBreak/>
        <w:t>doklad o oprávnění k podnikání v rozsahu odpovídajícím</w:t>
      </w:r>
      <w:r>
        <w:t>u</w:t>
      </w:r>
      <w:r w:rsidRPr="00C930C4">
        <w:t xml:space="preserve"> předmětu veřejné zakázky, </w:t>
      </w:r>
      <w:r w:rsidRPr="00B95D6B">
        <w:rPr>
          <w:bCs/>
        </w:rPr>
        <w:t>pokud jin</w:t>
      </w:r>
      <w:r>
        <w:rPr>
          <w:bCs/>
        </w:rPr>
        <w:t>é</w:t>
      </w:r>
      <w:r w:rsidRPr="00B95D6B">
        <w:rPr>
          <w:bCs/>
        </w:rPr>
        <w:t xml:space="preserve"> právní předpis</w:t>
      </w:r>
      <w:r>
        <w:rPr>
          <w:bCs/>
        </w:rPr>
        <w:t>y takové oprávnění vyžadují</w:t>
      </w:r>
      <w:r>
        <w:t xml:space="preserve"> – zadavatel požaduje živnostenské oprávnění "</w:t>
      </w:r>
      <w:r w:rsidRPr="004B0E09">
        <w:rPr>
          <w:b/>
        </w:rPr>
        <w:t>provádění staveb, jejich změn a</w:t>
      </w:r>
      <w:r>
        <w:rPr>
          <w:b/>
        </w:rPr>
        <w:t> </w:t>
      </w:r>
      <w:r w:rsidRPr="004B0E09">
        <w:rPr>
          <w:b/>
        </w:rPr>
        <w:t>odstraňování</w:t>
      </w:r>
      <w:r>
        <w:t>"</w:t>
      </w:r>
      <w:r w:rsidRPr="00C930C4">
        <w:rPr>
          <w:bCs/>
        </w:rPr>
        <w:t>.</w:t>
      </w:r>
    </w:p>
    <w:p w:rsidR="000A3EA3" w:rsidRDefault="000A3EA3" w:rsidP="000A3EA3">
      <w:pPr>
        <w:spacing w:before="120" w:after="120"/>
        <w:ind w:left="567"/>
        <w:jc w:val="both"/>
      </w:pPr>
      <w:r>
        <w:t>Uvedené d</w:t>
      </w:r>
      <w:r w:rsidRPr="00B95D6B">
        <w:t xml:space="preserve">oklady dodavatel nemusí předložit, pokud právní předpisy v zemi jeho sídla obdobnou profesní způsobilost nevyžadují. </w:t>
      </w:r>
    </w:p>
    <w:p w:rsidR="007A5F6A" w:rsidRDefault="000A3EA3" w:rsidP="007A5F6A">
      <w:pPr>
        <w:spacing w:before="120" w:after="120"/>
        <w:ind w:left="567"/>
        <w:jc w:val="both"/>
      </w:pPr>
      <w:r w:rsidRPr="00C930C4">
        <w:t xml:space="preserve">Dodavatel předloží doklady prokazující splnění </w:t>
      </w:r>
      <w:r>
        <w:t xml:space="preserve">profesních kvalifikačních předpokladů </w:t>
      </w:r>
      <w:r w:rsidRPr="00C930C4">
        <w:t>v prosté kopii. Výpis z obchodního rejstříku či výpis z jiné obdobné evidence nesmí být k termínu pro podání nabídek starší než 90 kalendářních dnů.</w:t>
      </w:r>
      <w:bookmarkStart w:id="1" w:name="_Toc174886047"/>
      <w:bookmarkStart w:id="2" w:name="_Toc174862358"/>
    </w:p>
    <w:p w:rsidR="007A5F6A" w:rsidRDefault="007A5F6A" w:rsidP="007A5F6A">
      <w:pPr>
        <w:spacing w:before="120" w:after="120"/>
        <w:ind w:left="567"/>
        <w:jc w:val="both"/>
      </w:pPr>
    </w:p>
    <w:p w:rsidR="000A3EA3" w:rsidRPr="007A5F6A" w:rsidRDefault="000A3EA3" w:rsidP="007A5F6A">
      <w:pPr>
        <w:pStyle w:val="Odstavecseseznamem"/>
        <w:numPr>
          <w:ilvl w:val="0"/>
          <w:numId w:val="21"/>
        </w:numPr>
        <w:spacing w:before="120" w:after="120"/>
        <w:jc w:val="both"/>
        <w:rPr>
          <w:b/>
        </w:rPr>
      </w:pPr>
      <w:r w:rsidRPr="007A5F6A">
        <w:rPr>
          <w:b/>
        </w:rPr>
        <w:t>Požadavek na způsob zpracování nabídkové ceny</w:t>
      </w:r>
      <w:bookmarkEnd w:id="1"/>
      <w:bookmarkEnd w:id="2"/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stanoví nabídkovou cenu za celý vymezený předmět veřejné zakázky v souladu s touto ZD, a to absolutní částkou v českých korunách. Celková nabídková cena bude uvedena v členění bez DPH, samostatně vyčíslené DPH platné ke dni podání nabídky a celková nabídková cena včetně DPH. Nabídková cena musí být zpracována jako maximální a nejvýše přípustná, platná po celou dobu realizace veřejné zakázky.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Nabídková cena bude zpracována dle přilož</w:t>
      </w:r>
      <w:r w:rsidR="002F126A">
        <w:rPr>
          <w:rFonts w:ascii="Calibri" w:hAnsi="Calibri"/>
          <w:b w:val="0"/>
          <w:i w:val="0"/>
          <w:sz w:val="22"/>
          <w:szCs w:val="22"/>
          <w:u w:val="none"/>
        </w:rPr>
        <w:t xml:space="preserve">eného výkazu výměr (příloha č. </w:t>
      </w:r>
      <w:r w:rsidR="001E70CF"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3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této výzvy), který je </w:t>
      </w: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povinen vyplnit v celém rozsahu jakožto součást nabídkové ceny.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Nabídková cena musí zahrnovat veškeré náklady nezbytné k řádnému, úplnému a kvalitnímu provedení předmětu zakázky včetně všech rizik a vlivů během provádění zakázky. Veškeré související náklady musí </w:t>
      </w: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zahrnout do ceny zakázky. Nabídková cena bude stanovena jako cena nejvýše přípustná, platná a neměnná po celou dobu trvání uzavřené Smlouvy o dílo.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Nabídková cena nesmí být měněna v souvislosti s inflací české koruny, hodnotou kurzu české koruny vůči zahraničním měnám či jinými faktory s vlivem na měnový kurz, stabilitou měny nebo cla. Nabídková cena může být měněna pouze v souvislosti se změnou DPH.</w:t>
      </w:r>
    </w:p>
    <w:p w:rsidR="007A5F6A" w:rsidRPr="001E70CF" w:rsidRDefault="000A3EA3" w:rsidP="001E70CF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  <w:lang w:val="cs-CZ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Zadavatel je oprávněn odečíst cenu neprovedených prací vyčíslených podle nabídkového rozpočtu v případě snížení rozsahu pra</w:t>
      </w:r>
      <w:r w:rsidR="001E70CF">
        <w:rPr>
          <w:rFonts w:ascii="Calibri" w:hAnsi="Calibri"/>
          <w:b w:val="0"/>
          <w:i w:val="0"/>
          <w:sz w:val="22"/>
          <w:szCs w:val="22"/>
          <w:u w:val="none"/>
        </w:rPr>
        <w:t>cí, po odsouhlasení zadavatelem</w:t>
      </w:r>
      <w:r w:rsidR="001E70CF"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.</w:t>
      </w:r>
    </w:p>
    <w:p w:rsidR="007A5F6A" w:rsidRDefault="007A5F6A" w:rsidP="000A3EA3">
      <w:pPr>
        <w:spacing w:after="240"/>
        <w:ind w:left="567"/>
        <w:jc w:val="both"/>
        <w:rPr>
          <w:b/>
        </w:rPr>
      </w:pPr>
    </w:p>
    <w:p w:rsidR="000A3EA3" w:rsidRPr="007A5F6A" w:rsidRDefault="000A3EA3" w:rsidP="007A5F6A">
      <w:pPr>
        <w:pStyle w:val="Odstavecseseznamem"/>
        <w:numPr>
          <w:ilvl w:val="0"/>
          <w:numId w:val="21"/>
        </w:numPr>
        <w:spacing w:before="480" w:after="120" w:line="276" w:lineRule="auto"/>
        <w:rPr>
          <w:b/>
        </w:rPr>
      </w:pPr>
      <w:bookmarkStart w:id="3" w:name="_Toc174886049"/>
      <w:bookmarkStart w:id="4" w:name="_Toc174862359"/>
      <w:r w:rsidRPr="007A5F6A">
        <w:rPr>
          <w:b/>
        </w:rPr>
        <w:t>Údaje o hodnotících kritériích</w:t>
      </w:r>
      <w:bookmarkEnd w:id="3"/>
      <w:bookmarkEnd w:id="4"/>
    </w:p>
    <w:p w:rsidR="000A3EA3" w:rsidRDefault="000A3EA3" w:rsidP="000A3EA3">
      <w:pPr>
        <w:spacing w:before="120" w:after="120"/>
        <w:ind w:left="567"/>
        <w:jc w:val="both"/>
        <w:rPr>
          <w:rFonts w:cs="Calibri"/>
        </w:rPr>
      </w:pPr>
      <w:r w:rsidRPr="007448D5">
        <w:rPr>
          <w:rFonts w:cs="Calibri"/>
          <w:b/>
          <w:bCs/>
        </w:rPr>
        <w:t xml:space="preserve">Základním hodnotícím kritériem pro zadání veřejné zakázky je ekonomická výhodnost nabídek </w:t>
      </w:r>
      <w:r>
        <w:rPr>
          <w:rFonts w:cs="Calibri"/>
          <w:b/>
          <w:bCs/>
        </w:rPr>
        <w:t>ve smyslu</w:t>
      </w:r>
      <w:r w:rsidRPr="007448D5">
        <w:rPr>
          <w:rFonts w:cs="Calibri"/>
          <w:b/>
          <w:bCs/>
        </w:rPr>
        <w:t xml:space="preserve"> §</w:t>
      </w:r>
      <w:r>
        <w:rPr>
          <w:rFonts w:cs="Calibri"/>
          <w:b/>
          <w:bCs/>
        </w:rPr>
        <w:t> 114 </w:t>
      </w:r>
      <w:r w:rsidRPr="007448D5">
        <w:rPr>
          <w:rFonts w:cs="Calibri"/>
          <w:b/>
          <w:bCs/>
        </w:rPr>
        <w:t xml:space="preserve">odst. 2 </w:t>
      </w:r>
      <w:r>
        <w:rPr>
          <w:rFonts w:cs="Calibri"/>
          <w:b/>
          <w:bCs/>
        </w:rPr>
        <w:t>Z</w:t>
      </w:r>
      <w:r w:rsidRPr="007448D5">
        <w:rPr>
          <w:rFonts w:cs="Calibri"/>
          <w:b/>
          <w:bCs/>
        </w:rPr>
        <w:t xml:space="preserve">ákona - nejnižší nabídková cena. </w:t>
      </w:r>
    </w:p>
    <w:p w:rsidR="000A3EA3" w:rsidRDefault="000A3EA3" w:rsidP="000A3EA3">
      <w:pPr>
        <w:autoSpaceDE w:val="0"/>
        <w:autoSpaceDN w:val="0"/>
        <w:adjustRightInd w:val="0"/>
        <w:spacing w:after="240"/>
        <w:ind w:left="567"/>
        <w:jc w:val="both"/>
        <w:rPr>
          <w:rFonts w:cs="Calibri"/>
        </w:rPr>
      </w:pPr>
      <w:r w:rsidRPr="00103827">
        <w:rPr>
          <w:rFonts w:cs="Calibri"/>
        </w:rPr>
        <w:t xml:space="preserve">Ekonomická výhodnost nabídky bude hodnocena podle její </w:t>
      </w:r>
      <w:r w:rsidRPr="00103827">
        <w:rPr>
          <w:rFonts w:cs="Calibri"/>
          <w:b/>
          <w:bCs/>
        </w:rPr>
        <w:t>nejnižší nabídkové ceny bez DPH</w:t>
      </w:r>
      <w:r w:rsidRPr="00103827">
        <w:rPr>
          <w:rFonts w:cs="Calibri"/>
        </w:rPr>
        <w:t xml:space="preserve">. Hodnocena bude </w:t>
      </w:r>
      <w:r>
        <w:rPr>
          <w:rFonts w:cs="Calibri"/>
        </w:rPr>
        <w:t>celková</w:t>
      </w:r>
      <w:r w:rsidRPr="00103827">
        <w:rPr>
          <w:rFonts w:cs="Calibri"/>
        </w:rPr>
        <w:t xml:space="preserve"> nabídkov</w:t>
      </w:r>
      <w:r>
        <w:rPr>
          <w:rFonts w:cs="Calibri"/>
        </w:rPr>
        <w:t>á</w:t>
      </w:r>
      <w:r w:rsidRPr="00103827">
        <w:rPr>
          <w:rFonts w:cs="Calibri"/>
        </w:rPr>
        <w:t xml:space="preserve"> cen</w:t>
      </w:r>
      <w:r>
        <w:rPr>
          <w:rFonts w:cs="Calibri"/>
        </w:rPr>
        <w:t>a</w:t>
      </w:r>
      <w:r w:rsidRPr="00103827">
        <w:rPr>
          <w:rFonts w:cs="Calibri"/>
        </w:rPr>
        <w:t xml:space="preserve"> </w:t>
      </w:r>
      <w:r>
        <w:rPr>
          <w:rFonts w:cs="Calibri"/>
        </w:rPr>
        <w:t xml:space="preserve">za realizaci zakázky </w:t>
      </w:r>
      <w:r w:rsidRPr="00103827">
        <w:rPr>
          <w:rFonts w:cs="Calibri"/>
        </w:rPr>
        <w:t>stanoven</w:t>
      </w:r>
      <w:r>
        <w:rPr>
          <w:rFonts w:cs="Calibri"/>
        </w:rPr>
        <w:t>á</w:t>
      </w:r>
      <w:r w:rsidRPr="00103827">
        <w:rPr>
          <w:rFonts w:cs="Calibri"/>
        </w:rPr>
        <w:t xml:space="preserve"> v nabídce</w:t>
      </w:r>
      <w:r w:rsidRPr="004A36A6">
        <w:rPr>
          <w:bCs/>
        </w:rPr>
        <w:t xml:space="preserve"> </w:t>
      </w:r>
      <w:r w:rsidR="007A5F6A">
        <w:rPr>
          <w:bCs/>
        </w:rPr>
        <w:t>způsobem dle čl. 7</w:t>
      </w:r>
      <w:r w:rsidRPr="00564721">
        <w:rPr>
          <w:bCs/>
        </w:rPr>
        <w:t>. této výzvy</w:t>
      </w:r>
      <w:r w:rsidRPr="00103827">
        <w:rPr>
          <w:rFonts w:cs="Calibri"/>
        </w:rPr>
        <w:t>.</w:t>
      </w:r>
    </w:p>
    <w:p w:rsidR="000A3EA3" w:rsidRPr="007A5F6A" w:rsidRDefault="000A3EA3" w:rsidP="007A5F6A">
      <w:pPr>
        <w:pStyle w:val="Odstavecseseznamem"/>
        <w:keepNext/>
        <w:numPr>
          <w:ilvl w:val="0"/>
          <w:numId w:val="21"/>
        </w:numPr>
        <w:spacing w:before="480" w:after="240" w:line="276" w:lineRule="auto"/>
        <w:jc w:val="both"/>
        <w:rPr>
          <w:b/>
        </w:rPr>
      </w:pPr>
      <w:r w:rsidRPr="007A5F6A">
        <w:rPr>
          <w:b/>
        </w:rPr>
        <w:t>Lhůta a místo pro podání nabídek</w:t>
      </w: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236"/>
        <w:gridCol w:w="5164"/>
      </w:tblGrid>
      <w:tr w:rsidR="000A3EA3" w:rsidRPr="00965510" w:rsidTr="00E464CF">
        <w:trPr>
          <w:trHeight w:hRule="exact" w:val="34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DC6161" w:rsidRDefault="000A3EA3" w:rsidP="00E464CF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DC6161">
              <w:rPr>
                <w:b/>
              </w:rPr>
              <w:t>Lhůta pro podání nabídek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DC6161" w:rsidRDefault="000A3EA3" w:rsidP="00E464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6161">
              <w:rPr>
                <w:b/>
              </w:rPr>
              <w:t>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B60EC7" w:rsidRDefault="0004557F" w:rsidP="001E7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15. 2. </w:t>
            </w:r>
            <w:r w:rsidR="001E70CF">
              <w:rPr>
                <w:b/>
                <w:bCs/>
              </w:rPr>
              <w:t>2018</w:t>
            </w:r>
            <w:r w:rsidR="000A3EA3" w:rsidRPr="00B60EC7">
              <w:rPr>
                <w:b/>
                <w:bCs/>
              </w:rPr>
              <w:t xml:space="preserve"> do </w:t>
            </w:r>
            <w:r>
              <w:rPr>
                <w:b/>
                <w:bCs/>
              </w:rPr>
              <w:t xml:space="preserve">12.00 </w:t>
            </w:r>
            <w:r w:rsidR="000A3EA3" w:rsidRPr="00B60EC7">
              <w:rPr>
                <w:b/>
                <w:bCs/>
              </w:rPr>
              <w:t>hodin</w:t>
            </w:r>
          </w:p>
        </w:tc>
      </w:tr>
    </w:tbl>
    <w:p w:rsidR="000A3EA3" w:rsidRDefault="000A3EA3" w:rsidP="000A3EA3">
      <w:pPr>
        <w:spacing w:before="120" w:after="120"/>
        <w:ind w:left="567"/>
        <w:jc w:val="both"/>
      </w:pPr>
      <w:r w:rsidRPr="00DC6161">
        <w:lastRenderedPageBreak/>
        <w:t xml:space="preserve">Nabídky se doručují zadavateli buď poštou na adresu </w:t>
      </w:r>
      <w:r w:rsidR="001E70CF">
        <w:rPr>
          <w:b/>
        </w:rPr>
        <w:t xml:space="preserve">Obec Liběšice, Liběšice </w:t>
      </w:r>
      <w:proofErr w:type="gramStart"/>
      <w:r w:rsidR="001E70CF">
        <w:rPr>
          <w:b/>
        </w:rPr>
        <w:t>č.p.</w:t>
      </w:r>
      <w:proofErr w:type="gramEnd"/>
      <w:r w:rsidR="001E70CF">
        <w:rPr>
          <w:b/>
        </w:rPr>
        <w:t xml:space="preserve"> 89, 439 63, Liběšice</w:t>
      </w:r>
      <w:r w:rsidRPr="00B60EC7">
        <w:t>,</w:t>
      </w:r>
      <w:r w:rsidRPr="00DC6161">
        <w:t xml:space="preserve"> </w:t>
      </w:r>
      <w:r w:rsidRPr="0043541A">
        <w:t xml:space="preserve">nebo osobně </w:t>
      </w:r>
      <w:r>
        <w:t>s využitím kontaktů uvedených v úvodu této Výzvy</w:t>
      </w:r>
      <w:r w:rsidRPr="00304FB8">
        <w:t>.</w:t>
      </w:r>
    </w:p>
    <w:p w:rsidR="000A3EA3" w:rsidRDefault="000A3EA3" w:rsidP="000A3EA3">
      <w:pPr>
        <w:spacing w:before="120" w:after="240"/>
        <w:ind w:left="567"/>
        <w:jc w:val="both"/>
      </w:pPr>
      <w:r>
        <w:t xml:space="preserve">Nabídka musí být doručena do konce lhůty pro podání nabídek. </w:t>
      </w:r>
      <w:r w:rsidRPr="00FF7917">
        <w:t xml:space="preserve">Bude-li nabídka </w:t>
      </w:r>
      <w:r>
        <w:t>dodavatele</w:t>
      </w:r>
      <w:r w:rsidRPr="00FF7917">
        <w:t xml:space="preserve"> zadavateli doručena po </w:t>
      </w:r>
      <w:r>
        <w:t xml:space="preserve">uplynutí této </w:t>
      </w:r>
      <w:r w:rsidRPr="00FF7917">
        <w:t>lhůt</w:t>
      </w:r>
      <w:r>
        <w:t>y,</w:t>
      </w:r>
      <w:r w:rsidRPr="00FF7917">
        <w:t xml:space="preserve"> nebude posuzována ani hodnocena.</w:t>
      </w:r>
    </w:p>
    <w:p w:rsidR="000A3EA3" w:rsidRPr="0069496E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jc w:val="both"/>
        <w:rPr>
          <w:b/>
        </w:rPr>
      </w:pPr>
      <w:bookmarkStart w:id="5" w:name="_Toc174886052"/>
      <w:r w:rsidRPr="0069496E">
        <w:rPr>
          <w:b/>
        </w:rPr>
        <w:t>Datum, čas a místo otevírání obálek s nabídkami</w:t>
      </w:r>
    </w:p>
    <w:p w:rsidR="000A3EA3" w:rsidRDefault="000A3EA3" w:rsidP="000A3EA3">
      <w:pPr>
        <w:spacing w:after="240"/>
        <w:ind w:left="567"/>
        <w:jc w:val="both"/>
      </w:pPr>
      <w:r w:rsidRPr="00C068FF">
        <w:t>Ot</w:t>
      </w:r>
      <w:r w:rsidR="0004557F">
        <w:t xml:space="preserve">evírání obálek se uskuteční dne 7. 3. </w:t>
      </w:r>
      <w:r w:rsidR="001E70CF">
        <w:t>2018</w:t>
      </w:r>
      <w:r w:rsidR="0004557F">
        <w:rPr>
          <w:b/>
          <w:bCs/>
        </w:rPr>
        <w:t xml:space="preserve"> v 10.00 </w:t>
      </w:r>
      <w:r w:rsidRPr="00C068FF">
        <w:rPr>
          <w:b/>
          <w:bCs/>
        </w:rPr>
        <w:t>hodin</w:t>
      </w:r>
      <w:r w:rsidR="001E70CF">
        <w:t xml:space="preserve"> v sídle zadavatele</w:t>
      </w:r>
      <w:r w:rsidR="0004557F">
        <w:t xml:space="preserve"> – Obecní úřad Liběšice</w:t>
      </w:r>
    </w:p>
    <w:bookmarkEnd w:id="5"/>
    <w:p w:rsidR="000A3EA3" w:rsidRPr="00FF7917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r w:rsidRPr="00FF7917">
        <w:rPr>
          <w:b/>
        </w:rPr>
        <w:t>Platební podmínky a splatnost faktur</w:t>
      </w:r>
    </w:p>
    <w:p w:rsidR="000A3EA3" w:rsidRDefault="000A3EA3" w:rsidP="000A3EA3">
      <w:pPr>
        <w:spacing w:after="60"/>
        <w:ind w:left="567"/>
        <w:jc w:val="both"/>
      </w:pPr>
      <w:r w:rsidRPr="00FF7917">
        <w:t xml:space="preserve">Cena za plnění zakázky bude </w:t>
      </w:r>
      <w:r>
        <w:t>zadavatelem (objednatelem)</w:t>
      </w:r>
      <w:r w:rsidRPr="00FF7917">
        <w:t xml:space="preserve"> uhrazena na základě </w:t>
      </w:r>
      <w:r>
        <w:t>faktur</w:t>
      </w:r>
      <w:r w:rsidR="001E70CF">
        <w:t>y</w:t>
      </w:r>
      <w:r>
        <w:t xml:space="preserve"> (daňového d</w:t>
      </w:r>
      <w:r w:rsidR="001E70CF">
        <w:t>okladu) vystaveného</w:t>
      </w:r>
      <w:r w:rsidRPr="00FF7917">
        <w:t xml:space="preserve"> </w:t>
      </w:r>
      <w:r>
        <w:t>dodavatelem (zhotovitelem). P</w:t>
      </w:r>
      <w:r w:rsidRPr="00FF7917">
        <w:t>řílohou </w:t>
      </w:r>
      <w:r>
        <w:t xml:space="preserve"> faktury bude soupis provedených prací potvrzený objednatelem</w:t>
      </w:r>
      <w:r w:rsidR="008866C5">
        <w:t>. Tato faktura bude vystavena po řádném převzetí a předání předmětu díla zhotovitelem objednateli.</w:t>
      </w:r>
    </w:p>
    <w:p w:rsidR="000A3EA3" w:rsidRDefault="000A3EA3" w:rsidP="000A3EA3">
      <w:pPr>
        <w:spacing w:after="60"/>
        <w:ind w:left="567"/>
        <w:jc w:val="both"/>
      </w:pPr>
      <w:r w:rsidRPr="00D03E00">
        <w:t>Splatnost faktur se sjednává na 30 kalendářních dní od doručení zadavateli.</w:t>
      </w:r>
    </w:p>
    <w:p w:rsidR="000A3EA3" w:rsidRPr="00FF7917" w:rsidRDefault="000A3EA3" w:rsidP="000A3EA3">
      <w:pPr>
        <w:spacing w:after="60"/>
        <w:ind w:left="567"/>
        <w:jc w:val="both"/>
      </w:pPr>
      <w:r w:rsidRPr="00FF7917">
        <w:t xml:space="preserve">Faktura musí obsahovat všechny náležitosti řádného účetního a daňového dokladu ve smyslu příslušných zákonných ustanovení, zejména zákona č. 235/2004 Sb., o dani z přidané hodnoty, ve znění pozdějších předpisů. V případě, že faktura nebude mít odpovídající náležitosti, je </w:t>
      </w:r>
      <w:r>
        <w:t>objednatel</w:t>
      </w:r>
      <w:r w:rsidRPr="00FF7917">
        <w:t xml:space="preserve"> oprávněn zaslat ji ve lhůtě splatnosti zpět </w:t>
      </w:r>
      <w:r>
        <w:t>zhotoviteli</w:t>
      </w:r>
      <w:r w:rsidRPr="00FF7917">
        <w:t xml:space="preserve"> k doplnění, aniž se tak dostane do prodlení se splatností; lhůta splatnosti počíná běžet znovu od opětovného doručení náležitě doplněného či opraveného dokladu.</w:t>
      </w:r>
    </w:p>
    <w:p w:rsidR="000A3EA3" w:rsidRPr="008866C5" w:rsidRDefault="000A3EA3" w:rsidP="008866C5">
      <w:pPr>
        <w:spacing w:before="120" w:after="120"/>
        <w:ind w:left="567"/>
        <w:jc w:val="both"/>
      </w:pPr>
      <w:r w:rsidRPr="00FF7917">
        <w:t xml:space="preserve">Záloha na plnění </w:t>
      </w:r>
      <w:r>
        <w:t xml:space="preserve">veřejné </w:t>
      </w:r>
      <w:bookmarkStart w:id="6" w:name="_Toc174886050"/>
      <w:bookmarkStart w:id="7" w:name="_Toc174862360"/>
      <w:bookmarkStart w:id="8" w:name="_Toc167820082"/>
      <w:bookmarkStart w:id="9" w:name="_Ref139221135"/>
      <w:r w:rsidR="008866C5">
        <w:t>zakázky nebude poskytnuta</w:t>
      </w:r>
    </w:p>
    <w:bookmarkEnd w:id="6"/>
    <w:bookmarkEnd w:id="7"/>
    <w:bookmarkEnd w:id="8"/>
    <w:bookmarkEnd w:id="9"/>
    <w:p w:rsidR="000A3EA3" w:rsidRPr="00FF7917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r>
        <w:rPr>
          <w:b/>
        </w:rPr>
        <w:t>Členění nabídky</w:t>
      </w:r>
    </w:p>
    <w:p w:rsidR="000A3EA3" w:rsidRPr="00FF7917" w:rsidRDefault="000A3EA3" w:rsidP="000A3EA3">
      <w:pPr>
        <w:spacing w:after="60"/>
        <w:ind w:left="567"/>
      </w:pPr>
      <w:r w:rsidRPr="00FF7917">
        <w:t>Nabídka bude zadavateli předložena v té</w:t>
      </w:r>
      <w:r>
        <w:t>to struktuře (obsahu a členění)</w:t>
      </w:r>
      <w:r w:rsidRPr="00FF7917">
        <w:t>:</w:t>
      </w:r>
    </w:p>
    <w:p w:rsidR="000A3EA3" w:rsidRPr="00FE47E4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jc w:val="both"/>
        <w:rPr>
          <w:bCs/>
        </w:rPr>
      </w:pPr>
      <w:r w:rsidRPr="00FE47E4">
        <w:t xml:space="preserve">Krycí list nabídky </w:t>
      </w:r>
      <w:r w:rsidRPr="00FE47E4">
        <w:rPr>
          <w:bCs/>
        </w:rPr>
        <w:t xml:space="preserve">podepsaný osobou oprávněnou jednat jménem či za </w:t>
      </w:r>
      <w:r>
        <w:rPr>
          <w:bCs/>
        </w:rPr>
        <w:t>dodavatel</w:t>
      </w:r>
      <w:r w:rsidRPr="00FE47E4">
        <w:rPr>
          <w:bCs/>
        </w:rPr>
        <w:t xml:space="preserve">e, </w:t>
      </w:r>
      <w:r w:rsidRPr="00FE47E4">
        <w:t>a to způsobem uvedeným v příslušné listině prokazující způsob jednání</w:t>
      </w:r>
      <w:r>
        <w:t xml:space="preserve"> (příloha č. 1 této výzvy).</w:t>
      </w:r>
    </w:p>
    <w:p w:rsidR="000A3EA3" w:rsidRPr="00304FB8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rPr>
          <w:b/>
          <w:bCs/>
        </w:rPr>
      </w:pPr>
      <w:r>
        <w:t>D</w:t>
      </w:r>
      <w:r w:rsidRPr="00304FB8">
        <w:t xml:space="preserve">oklady prokazující </w:t>
      </w:r>
      <w:r>
        <w:t>základní způsobilos</w:t>
      </w:r>
      <w:r w:rsidR="007A5F6A">
        <w:t>t - čestné prohlášení dle bodu 6</w:t>
      </w:r>
      <w:r>
        <w:t>.1 (příloha č. 2 této výzvy).</w:t>
      </w:r>
    </w:p>
    <w:p w:rsidR="000A3EA3" w:rsidRPr="00304FB8" w:rsidRDefault="000A3EA3" w:rsidP="000A3EA3">
      <w:pPr>
        <w:numPr>
          <w:ilvl w:val="0"/>
          <w:numId w:val="26"/>
        </w:numPr>
        <w:spacing w:after="0" w:line="276" w:lineRule="auto"/>
        <w:ind w:left="1281" w:hanging="357"/>
      </w:pPr>
      <w:r>
        <w:t>D</w:t>
      </w:r>
      <w:r w:rsidRPr="00304FB8">
        <w:t xml:space="preserve">oklady prokazující </w:t>
      </w:r>
      <w:r w:rsidR="007A5F6A">
        <w:t>profesní způsobilost dle bodu 6.2</w:t>
      </w:r>
    </w:p>
    <w:p w:rsidR="000A3EA3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jc w:val="both"/>
      </w:pPr>
      <w:r>
        <w:t>Cenová nabídka ve struktuře dle bodu 8 (ocen</w:t>
      </w:r>
      <w:r w:rsidR="008866C5">
        <w:t>ěný výkaz výměr dle přílohy č. 3</w:t>
      </w:r>
      <w:r>
        <w:t xml:space="preserve"> této výzvy)</w:t>
      </w:r>
    </w:p>
    <w:p w:rsidR="000A3EA3" w:rsidRDefault="000A3EA3" w:rsidP="008866C5">
      <w:pPr>
        <w:spacing w:after="0" w:line="276" w:lineRule="auto"/>
        <w:ind w:left="924"/>
        <w:jc w:val="both"/>
      </w:pPr>
    </w:p>
    <w:p w:rsidR="000A3EA3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bookmarkStart w:id="10" w:name="_Toc174886051"/>
      <w:bookmarkStart w:id="11" w:name="_Toc174862361"/>
      <w:r>
        <w:rPr>
          <w:b/>
        </w:rPr>
        <w:t>Pokyny pro zpracování nabídek</w:t>
      </w:r>
      <w:bookmarkEnd w:id="10"/>
      <w:bookmarkEnd w:id="11"/>
    </w:p>
    <w:p w:rsidR="000A3EA3" w:rsidRDefault="000A3EA3" w:rsidP="000A3EA3">
      <w:pPr>
        <w:spacing w:after="60"/>
        <w:ind w:left="567"/>
        <w:jc w:val="both"/>
      </w:pPr>
      <w:r w:rsidRPr="00B22D2C">
        <w:t>Nabídka musí být zpracována výhrad</w:t>
      </w:r>
      <w:r>
        <w:t>ně v českém jazyce</w:t>
      </w:r>
      <w:r w:rsidRPr="0086210F">
        <w:t xml:space="preserve"> </w:t>
      </w:r>
      <w:r w:rsidRPr="00DC387B">
        <w:t>a na papíru formátu A4</w:t>
      </w:r>
      <w:r>
        <w:t xml:space="preserve">, </w:t>
      </w:r>
      <w:r w:rsidRPr="00DC387B">
        <w:t xml:space="preserve">dle </w:t>
      </w:r>
      <w:r>
        <w:t xml:space="preserve">obsahových, </w:t>
      </w:r>
      <w:r w:rsidRPr="00DC387B">
        <w:t>formálních, technických a smluvních požadavků zadavatele uvedených v</w:t>
      </w:r>
      <w:r>
        <w:t> </w:t>
      </w:r>
      <w:r w:rsidRPr="00DC387B">
        <w:t>této</w:t>
      </w:r>
      <w:r w:rsidR="008866C5">
        <w:t xml:space="preserve"> výzvě a v členění dle bodu 11</w:t>
      </w:r>
      <w:r>
        <w:t>.</w:t>
      </w:r>
    </w:p>
    <w:p w:rsidR="000A3EA3" w:rsidRPr="00E26E52" w:rsidRDefault="000A3EA3" w:rsidP="000A3EA3">
      <w:pPr>
        <w:spacing w:after="60"/>
        <w:ind w:left="567"/>
        <w:jc w:val="both"/>
      </w:pPr>
      <w:r w:rsidRPr="00DC387B">
        <w:t>Nabídka bude předána</w:t>
      </w:r>
      <w:r w:rsidRPr="00DC387B">
        <w:rPr>
          <w:b/>
        </w:rPr>
        <w:t xml:space="preserve"> v jednom originál</w:t>
      </w:r>
      <w:r>
        <w:rPr>
          <w:b/>
        </w:rPr>
        <w:t>ním vyhotovení</w:t>
      </w:r>
      <w:r>
        <w:t xml:space="preserve"> </w:t>
      </w:r>
      <w:r>
        <w:rPr>
          <w:b/>
        </w:rPr>
        <w:t xml:space="preserve">v </w:t>
      </w:r>
      <w:r w:rsidRPr="00DC387B">
        <w:rPr>
          <w:b/>
        </w:rPr>
        <w:t>uzavřené obálce označené</w:t>
      </w:r>
      <w:r>
        <w:rPr>
          <w:b/>
        </w:rPr>
        <w:t xml:space="preserve"> názvem zakázky </w:t>
      </w:r>
      <w:r>
        <w:t>a textem "</w:t>
      </w:r>
      <w:r w:rsidRPr="00B22D2C">
        <w:rPr>
          <w:b/>
        </w:rPr>
        <w:t>NEOTVÍRAT</w:t>
      </w:r>
      <w:r w:rsidR="0004557F">
        <w:t xml:space="preserve"> – </w:t>
      </w:r>
      <w:r w:rsidR="0004557F" w:rsidRPr="0004557F">
        <w:rPr>
          <w:b/>
        </w:rPr>
        <w:t>Výstavba multifunkčního hřiště v Liběšicích</w:t>
      </w:r>
      <w:r>
        <w:rPr>
          <w:b/>
        </w:rPr>
        <w:t>.</w:t>
      </w:r>
      <w:r w:rsidR="0004557F">
        <w:rPr>
          <w:rFonts w:cs="Arial"/>
        </w:rPr>
        <w:t xml:space="preserve">“ </w:t>
      </w:r>
      <w:r>
        <w:rPr>
          <w:rFonts w:cs="Arial"/>
        </w:rPr>
        <w:t xml:space="preserve">Obálka bude též </w:t>
      </w:r>
      <w:r>
        <w:rPr>
          <w:rFonts w:cs="Arial"/>
        </w:rPr>
        <w:lastRenderedPageBreak/>
        <w:t>označena adresou dodavatele, kam je možné zaslat oznámení o podání nabídky po stanovené lhůtě.</w:t>
      </w:r>
    </w:p>
    <w:p w:rsidR="000A3EA3" w:rsidRDefault="000A3EA3" w:rsidP="000A3EA3">
      <w:pPr>
        <w:spacing w:before="60" w:after="120"/>
        <w:ind w:left="567"/>
        <w:jc w:val="both"/>
      </w:pPr>
      <w:r w:rsidRPr="00DC387B">
        <w:t>Jednotlivé listy nabídky nesmí obsahova</w:t>
      </w:r>
      <w:r>
        <w:t>t přepisy, škrty či jiné úpravy</w:t>
      </w:r>
      <w:r w:rsidRPr="00DC387B">
        <w:t xml:space="preserve">. </w:t>
      </w:r>
      <w:r>
        <w:t>Dodavatelé</w:t>
      </w:r>
      <w:r w:rsidRPr="00DC387B">
        <w:t xml:space="preserve"> podají svou nabídku s jednotlivě očíslovanými listy</w:t>
      </w:r>
      <w:r>
        <w:t>. V zájmu právní jistoty doporučuje zadavatel dodavateli</w:t>
      </w:r>
      <w:r w:rsidRPr="00DC387B">
        <w:t xml:space="preserve"> zabezpeč</w:t>
      </w:r>
      <w:r>
        <w:t>it originál nabídky</w:t>
      </w:r>
      <w:r w:rsidRPr="00DC387B">
        <w:t xml:space="preserve"> proti manipulaci. Bude-li nabídka obsahovat přílohy (fotografie, prospekty), pak tyto přílohy budou zařazeny až za vlastní nabídkou </w:t>
      </w:r>
      <w:r w:rsidR="002F2F4A">
        <w:t>dodavatele dle článku 13</w:t>
      </w:r>
      <w:r>
        <w:t xml:space="preserve"> této výzvy</w:t>
      </w:r>
      <w:r w:rsidRPr="00DC387B">
        <w:t>.</w:t>
      </w:r>
    </w:p>
    <w:p w:rsidR="000A3EA3" w:rsidRPr="00C120BC" w:rsidRDefault="000A3EA3" w:rsidP="007A5F6A">
      <w:pPr>
        <w:numPr>
          <w:ilvl w:val="0"/>
          <w:numId w:val="21"/>
        </w:numPr>
        <w:spacing w:before="360" w:after="120" w:line="276" w:lineRule="auto"/>
        <w:ind w:left="567" w:hanging="567"/>
        <w:rPr>
          <w:b/>
        </w:rPr>
      </w:pPr>
      <w:r>
        <w:rPr>
          <w:b/>
        </w:rPr>
        <w:t>Ostatní ustanovení a v</w:t>
      </w:r>
      <w:r w:rsidRPr="00FF7917">
        <w:rPr>
          <w:b/>
        </w:rPr>
        <w:t>ýhrady zadavatele</w:t>
      </w:r>
      <w:r w:rsidRPr="00C930C4">
        <w:t>.</w:t>
      </w:r>
    </w:p>
    <w:p w:rsidR="000A3EA3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>
        <w:t>dodavatel</w:t>
      </w:r>
      <w:r w:rsidRPr="00C930C4">
        <w:t xml:space="preserve"> je oprávněn požadovat po zadavateli dodatečné informace k zadávacím podmínkám formou písemné žádost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podanou nabídku nelze měnit;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varianty nabídky zadavatel nepřipouští;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zadavatel si vyhrazuje právo vybrat nabídku, která nejlépe splní uvedená kritéria;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>
        <w:t>dodavatelé</w:t>
      </w:r>
      <w:r w:rsidRPr="00FF7917">
        <w:t xml:space="preserve"> jsou svými nabídkami vázáni po dobu </w:t>
      </w:r>
      <w:r>
        <w:t>60</w:t>
      </w:r>
      <w:r w:rsidRPr="00FF7917">
        <w:t xml:space="preserve"> dnů od uplynutí lhůty pro podání nabídek;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FF7917">
        <w:t xml:space="preserve">do okamžiku uzavření smlouvy je zadavatel oprávněn toto výběrovém </w:t>
      </w:r>
      <w:proofErr w:type="spellStart"/>
      <w:r w:rsidRPr="00FF7917">
        <w:t>zení</w:t>
      </w:r>
      <w:proofErr w:type="spellEnd"/>
      <w:r w:rsidRPr="00FF7917">
        <w:t xml:space="preserve"> kdykoli zrušit, popř. odmítnout všechny p</w:t>
      </w:r>
      <w:r>
        <w:t>odané nabídky. Vybranému dodavatel</w:t>
      </w:r>
      <w:r w:rsidRPr="00FF7917">
        <w:t xml:space="preserve">i nevzniká nárok na uzavření smluvního vztahu se zadavatelem. Zrušení výběrového řízení zadavatel vyzvaným </w:t>
      </w:r>
      <w:r>
        <w:t>dodavatel</w:t>
      </w:r>
      <w:r w:rsidRPr="00FF7917">
        <w:t>ům písemně oznámí;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FF7917">
        <w:t xml:space="preserve">zadavatel si vyhrazuje právo vyřadit nabídky, které nebyly zpracovány podle podmínek </w:t>
      </w:r>
      <w:r w:rsidRPr="00304FB8">
        <w:t>stanovených zadavatelem (kvalifikace, obsah nabídky, změny ve smlouvě nebo výkazu výměr atd.);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si vyhrazuje právo na základě předložených nabí</w:t>
      </w:r>
      <w:r>
        <w:t>dek vyžádat od vybraných dodavatel</w:t>
      </w:r>
      <w:r w:rsidRPr="00304FB8">
        <w:t>ů doplňující informace;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304FB8">
        <w:t xml:space="preserve">žádný </w:t>
      </w:r>
      <w:r>
        <w:t>dodavatel</w:t>
      </w:r>
      <w:r w:rsidRPr="00304FB8">
        <w:t xml:space="preserve"> nemá právo na náhradu nákladů spojených s účastí v tomto výběrovém řízení.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si vyhrazuje právo jednat o předloženém návrhu smlouvy;</w:t>
      </w:r>
    </w:p>
    <w:p w:rsidR="000A3EA3" w:rsidRPr="00304FB8" w:rsidRDefault="000A3EA3" w:rsidP="000A3EA3">
      <w:pPr>
        <w:keepNext/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nepřipouští variantní řešení;</w:t>
      </w:r>
    </w:p>
    <w:p w:rsidR="000A3EA3" w:rsidRPr="00FF7917" w:rsidRDefault="000A3EA3" w:rsidP="000A3EA3">
      <w:pPr>
        <w:keepNext/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 xml:space="preserve">zadavatel nepřipouští podání nabídky na dílčí plnění. </w:t>
      </w:r>
    </w:p>
    <w:p w:rsidR="000A3EA3" w:rsidRPr="000A3EA3" w:rsidRDefault="000A3EA3" w:rsidP="000A3EA3">
      <w:pPr>
        <w:jc w:val="both"/>
        <w:rPr>
          <w:sz w:val="24"/>
          <w:szCs w:val="24"/>
        </w:rPr>
      </w:pPr>
    </w:p>
    <w:p w:rsidR="004B1905" w:rsidRPr="00E45242" w:rsidRDefault="004B1905" w:rsidP="00E45242">
      <w:pPr>
        <w:jc w:val="both"/>
        <w:rPr>
          <w:sz w:val="24"/>
          <w:szCs w:val="24"/>
        </w:rPr>
      </w:pPr>
    </w:p>
    <w:p w:rsidR="007B640A" w:rsidRPr="002C6571" w:rsidRDefault="007B640A" w:rsidP="00607077">
      <w:pPr>
        <w:rPr>
          <w:b/>
          <w:sz w:val="24"/>
          <w:szCs w:val="24"/>
        </w:rPr>
      </w:pPr>
    </w:p>
    <w:p w:rsidR="00607077" w:rsidRDefault="0004557F" w:rsidP="002C6571">
      <w:pPr>
        <w:jc w:val="both"/>
      </w:pPr>
      <w:r>
        <w:t xml:space="preserve">V Liběšicích dne 18. 1. </w:t>
      </w:r>
      <w:r w:rsidR="008866C5">
        <w:t>2018</w:t>
      </w:r>
      <w:r w:rsidR="002F2F4A">
        <w:t xml:space="preserve">                                                   </w:t>
      </w:r>
      <w:r w:rsidR="00F13BB2">
        <w:t xml:space="preserve">  </w:t>
      </w:r>
      <w:r w:rsidR="008866C5">
        <w:t>Bc. Petr Valenta, MBA</w:t>
      </w:r>
    </w:p>
    <w:p w:rsidR="008866C5" w:rsidRDefault="008866C5" w:rsidP="002C6571">
      <w:pPr>
        <w:jc w:val="both"/>
      </w:pPr>
      <w:r>
        <w:t xml:space="preserve">                                                                                                           Starosta obce</w:t>
      </w:r>
    </w:p>
    <w:p w:rsidR="00F13BB2" w:rsidRDefault="00F13BB2" w:rsidP="002C6571">
      <w:pPr>
        <w:jc w:val="both"/>
      </w:pPr>
    </w:p>
    <w:p w:rsidR="00F13BB2" w:rsidRPr="00607077" w:rsidRDefault="00F13BB2" w:rsidP="002C6571">
      <w:pPr>
        <w:jc w:val="both"/>
      </w:pPr>
      <w:r>
        <w:t xml:space="preserve">                                                                                                       </w:t>
      </w:r>
    </w:p>
    <w:p w:rsidR="00607077" w:rsidRPr="00607077" w:rsidRDefault="00607077" w:rsidP="00607077"/>
    <w:p w:rsidR="00607077" w:rsidRPr="002F2F4A" w:rsidRDefault="00607077" w:rsidP="002F2F4A">
      <w:pPr>
        <w:rPr>
          <w:b/>
          <w:sz w:val="24"/>
          <w:szCs w:val="24"/>
        </w:rPr>
      </w:pPr>
    </w:p>
    <w:p w:rsidR="008E4086" w:rsidRPr="002F2F4A" w:rsidRDefault="000C6AF1" w:rsidP="002F2F4A">
      <w:pPr>
        <w:rPr>
          <w:b/>
          <w:sz w:val="24"/>
          <w:szCs w:val="24"/>
        </w:rPr>
      </w:pPr>
      <w:r>
        <w:t xml:space="preserve"> </w:t>
      </w:r>
    </w:p>
    <w:p w:rsidR="008E4086" w:rsidRPr="00696215" w:rsidRDefault="008E4086" w:rsidP="00470E26">
      <w:pPr>
        <w:jc w:val="center"/>
        <w:rPr>
          <w:b/>
        </w:rPr>
      </w:pPr>
    </w:p>
    <w:p w:rsidR="005910A7" w:rsidRPr="00696215" w:rsidRDefault="005910A7" w:rsidP="00470E26">
      <w:pPr>
        <w:jc w:val="center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746BBF">
            <w:pPr>
              <w:spacing w:line="259" w:lineRule="auto"/>
              <w:jc w:val="center"/>
            </w:pPr>
          </w:p>
        </w:tc>
      </w:tr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746BBF">
            <w:pPr>
              <w:spacing w:line="259" w:lineRule="auto"/>
              <w:jc w:val="center"/>
            </w:pPr>
          </w:p>
        </w:tc>
      </w:tr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0C6AF1">
            <w:pPr>
              <w:spacing w:line="259" w:lineRule="auto"/>
            </w:pPr>
          </w:p>
        </w:tc>
      </w:tr>
    </w:tbl>
    <w:p w:rsidR="00E70261" w:rsidRDefault="00E70261" w:rsidP="002F2F4A">
      <w:pPr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sectPr w:rsidR="00827382" w:rsidSect="00C178A4">
      <w:footerReference w:type="even" r:id="rId8"/>
      <w:footerReference w:type="default" r:id="rId9"/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26" w:rsidRDefault="00015A26" w:rsidP="00D840CB">
      <w:pPr>
        <w:spacing w:after="0" w:line="240" w:lineRule="auto"/>
      </w:pPr>
      <w:r>
        <w:separator/>
      </w:r>
    </w:p>
  </w:endnote>
  <w:endnote w:type="continuationSeparator" w:id="0">
    <w:p w:rsidR="00015A26" w:rsidRDefault="00015A26" w:rsidP="00D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C9" w:rsidRPr="007D61C9" w:rsidRDefault="007D61C9" w:rsidP="007D61C9">
    <w:pPr>
      <w:pStyle w:val="Zpat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C9" w:rsidRPr="007D61C9" w:rsidRDefault="00470E26" w:rsidP="007B640A">
    <w:pPr>
      <w:pStyle w:val="Zpat"/>
      <w:rPr>
        <w:color w:val="3B3838" w:themeColor="background2" w:themeShade="40"/>
        <w:sz w:val="18"/>
      </w:rPr>
    </w:pPr>
    <w:r>
      <w:rPr>
        <w:noProof/>
        <w:color w:val="3B3838" w:themeColor="background2" w:themeShade="40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FA01" wp14:editId="27E9BAE7">
              <wp:simplePos x="0" y="0"/>
              <wp:positionH relativeFrom="column">
                <wp:posOffset>-185420</wp:posOffset>
              </wp:positionH>
              <wp:positionV relativeFrom="paragraph">
                <wp:posOffset>-67310</wp:posOffset>
              </wp:positionV>
              <wp:extent cx="58102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657387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-5.3pt" to="442.9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" strokecolor="#2e74b5 [2404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26" w:rsidRDefault="00015A26" w:rsidP="00D840CB">
      <w:pPr>
        <w:spacing w:after="0" w:line="240" w:lineRule="auto"/>
      </w:pPr>
      <w:r>
        <w:separator/>
      </w:r>
    </w:p>
  </w:footnote>
  <w:footnote w:type="continuationSeparator" w:id="0">
    <w:p w:rsidR="00015A26" w:rsidRDefault="00015A26" w:rsidP="00D8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15B76"/>
    <w:multiLevelType w:val="hybridMultilevel"/>
    <w:tmpl w:val="DB84F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E3B"/>
    <w:multiLevelType w:val="hybridMultilevel"/>
    <w:tmpl w:val="EACE6140"/>
    <w:lvl w:ilvl="0" w:tplc="102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0D4"/>
    <w:multiLevelType w:val="hybridMultilevel"/>
    <w:tmpl w:val="4FDE683A"/>
    <w:lvl w:ilvl="0" w:tplc="F7C838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3301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7C0BCD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14C3A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3F787C"/>
    <w:multiLevelType w:val="hybridMultilevel"/>
    <w:tmpl w:val="9E22E56A"/>
    <w:lvl w:ilvl="0" w:tplc="B316ED00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A325B"/>
    <w:multiLevelType w:val="hybridMultilevel"/>
    <w:tmpl w:val="8E3AF20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D54831"/>
    <w:multiLevelType w:val="hybridMultilevel"/>
    <w:tmpl w:val="61A4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E3A"/>
    <w:multiLevelType w:val="hybridMultilevel"/>
    <w:tmpl w:val="84B6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174B0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7812C6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BD6C2A"/>
    <w:multiLevelType w:val="hybridMultilevel"/>
    <w:tmpl w:val="C4B4C134"/>
    <w:lvl w:ilvl="0" w:tplc="AB404F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7A72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757CEF"/>
    <w:multiLevelType w:val="hybridMultilevel"/>
    <w:tmpl w:val="633C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726A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2633A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077A1F"/>
    <w:multiLevelType w:val="hybridMultilevel"/>
    <w:tmpl w:val="9576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4525B"/>
    <w:multiLevelType w:val="hybridMultilevel"/>
    <w:tmpl w:val="D6C0020E"/>
    <w:lvl w:ilvl="0" w:tplc="38AA4BB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A77FC"/>
    <w:multiLevelType w:val="hybridMultilevel"/>
    <w:tmpl w:val="696A6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2E15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7F67FA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021A9"/>
    <w:multiLevelType w:val="hybridMultilevel"/>
    <w:tmpl w:val="F56C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2A20"/>
    <w:multiLevelType w:val="hybridMultilevel"/>
    <w:tmpl w:val="12D4C824"/>
    <w:lvl w:ilvl="0" w:tplc="B76AEE7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2E7F68"/>
    <w:multiLevelType w:val="hybridMultilevel"/>
    <w:tmpl w:val="D2188B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D03"/>
    <w:multiLevelType w:val="hybridMultilevel"/>
    <w:tmpl w:val="62F6F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E4078"/>
    <w:multiLevelType w:val="hybridMultilevel"/>
    <w:tmpl w:val="CCCC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7"/>
  </w:num>
  <w:num w:numId="5">
    <w:abstractNumId w:val="23"/>
  </w:num>
  <w:num w:numId="6">
    <w:abstractNumId w:val="22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1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9"/>
  </w:num>
  <w:num w:numId="20">
    <w:abstractNumId w:val="18"/>
  </w:num>
  <w:num w:numId="21">
    <w:abstractNumId w:val="27"/>
  </w:num>
  <w:num w:numId="22">
    <w:abstractNumId w:val="3"/>
  </w:num>
  <w:num w:numId="23">
    <w:abstractNumId w:val="19"/>
  </w:num>
  <w:num w:numId="24">
    <w:abstractNumId w:val="15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1"/>
    <w:rsid w:val="000050DD"/>
    <w:rsid w:val="00015A26"/>
    <w:rsid w:val="0004557F"/>
    <w:rsid w:val="00045E99"/>
    <w:rsid w:val="00051B58"/>
    <w:rsid w:val="00056381"/>
    <w:rsid w:val="000754D2"/>
    <w:rsid w:val="000A3EA3"/>
    <w:rsid w:val="000C67BD"/>
    <w:rsid w:val="000C6AF1"/>
    <w:rsid w:val="00161DAB"/>
    <w:rsid w:val="00190BAF"/>
    <w:rsid w:val="001916D9"/>
    <w:rsid w:val="001A5B49"/>
    <w:rsid w:val="001B278E"/>
    <w:rsid w:val="001C1E02"/>
    <w:rsid w:val="001E70CF"/>
    <w:rsid w:val="001F3308"/>
    <w:rsid w:val="002014D8"/>
    <w:rsid w:val="002101E0"/>
    <w:rsid w:val="00250016"/>
    <w:rsid w:val="00272D3D"/>
    <w:rsid w:val="00296DA3"/>
    <w:rsid w:val="002A2641"/>
    <w:rsid w:val="002C6571"/>
    <w:rsid w:val="002D55C8"/>
    <w:rsid w:val="002F126A"/>
    <w:rsid w:val="002F2F4A"/>
    <w:rsid w:val="00312CCB"/>
    <w:rsid w:val="0032339B"/>
    <w:rsid w:val="00345A92"/>
    <w:rsid w:val="0034762C"/>
    <w:rsid w:val="00360309"/>
    <w:rsid w:val="003A0C9D"/>
    <w:rsid w:val="00430520"/>
    <w:rsid w:val="00442D10"/>
    <w:rsid w:val="00470E26"/>
    <w:rsid w:val="004717B3"/>
    <w:rsid w:val="004A7054"/>
    <w:rsid w:val="004B1905"/>
    <w:rsid w:val="004D58AA"/>
    <w:rsid w:val="005078BF"/>
    <w:rsid w:val="00532704"/>
    <w:rsid w:val="005910A7"/>
    <w:rsid w:val="005A49A7"/>
    <w:rsid w:val="005D4547"/>
    <w:rsid w:val="005F3A21"/>
    <w:rsid w:val="006039EB"/>
    <w:rsid w:val="00607077"/>
    <w:rsid w:val="00610A00"/>
    <w:rsid w:val="006434F7"/>
    <w:rsid w:val="00651F67"/>
    <w:rsid w:val="0069308A"/>
    <w:rsid w:val="00696215"/>
    <w:rsid w:val="006A0448"/>
    <w:rsid w:val="006B1F5B"/>
    <w:rsid w:val="006B5746"/>
    <w:rsid w:val="006F4E68"/>
    <w:rsid w:val="00705540"/>
    <w:rsid w:val="00712A3A"/>
    <w:rsid w:val="00733C45"/>
    <w:rsid w:val="00772130"/>
    <w:rsid w:val="00792CF6"/>
    <w:rsid w:val="007A5F6A"/>
    <w:rsid w:val="007B640A"/>
    <w:rsid w:val="007C1967"/>
    <w:rsid w:val="007C1EEA"/>
    <w:rsid w:val="007C676A"/>
    <w:rsid w:val="007D61C9"/>
    <w:rsid w:val="007D755F"/>
    <w:rsid w:val="007E3F28"/>
    <w:rsid w:val="00824AF6"/>
    <w:rsid w:val="00827382"/>
    <w:rsid w:val="00831AC1"/>
    <w:rsid w:val="0087328D"/>
    <w:rsid w:val="008866C5"/>
    <w:rsid w:val="008C41DE"/>
    <w:rsid w:val="008E4086"/>
    <w:rsid w:val="009715BC"/>
    <w:rsid w:val="0097164C"/>
    <w:rsid w:val="00986A10"/>
    <w:rsid w:val="009A05FD"/>
    <w:rsid w:val="009A5D9C"/>
    <w:rsid w:val="009B7377"/>
    <w:rsid w:val="009D4C97"/>
    <w:rsid w:val="00A01F9F"/>
    <w:rsid w:val="00A22690"/>
    <w:rsid w:val="00A36C25"/>
    <w:rsid w:val="00AA53B4"/>
    <w:rsid w:val="00AB29CD"/>
    <w:rsid w:val="00AC29A2"/>
    <w:rsid w:val="00AC7FB3"/>
    <w:rsid w:val="00B176AB"/>
    <w:rsid w:val="00B96EC9"/>
    <w:rsid w:val="00BF2A0D"/>
    <w:rsid w:val="00C178A4"/>
    <w:rsid w:val="00C21829"/>
    <w:rsid w:val="00C22407"/>
    <w:rsid w:val="00C344AA"/>
    <w:rsid w:val="00C35F15"/>
    <w:rsid w:val="00C62C18"/>
    <w:rsid w:val="00C7548C"/>
    <w:rsid w:val="00C956AB"/>
    <w:rsid w:val="00CD79FF"/>
    <w:rsid w:val="00CE0336"/>
    <w:rsid w:val="00CF32E8"/>
    <w:rsid w:val="00D06F4A"/>
    <w:rsid w:val="00D07E25"/>
    <w:rsid w:val="00D51E7C"/>
    <w:rsid w:val="00D70572"/>
    <w:rsid w:val="00D840CB"/>
    <w:rsid w:val="00DE145C"/>
    <w:rsid w:val="00DF7C1D"/>
    <w:rsid w:val="00E25B57"/>
    <w:rsid w:val="00E45242"/>
    <w:rsid w:val="00E6350B"/>
    <w:rsid w:val="00E70261"/>
    <w:rsid w:val="00E73FFD"/>
    <w:rsid w:val="00E74DA5"/>
    <w:rsid w:val="00F01EF8"/>
    <w:rsid w:val="00F10094"/>
    <w:rsid w:val="00F13BB2"/>
    <w:rsid w:val="00F23B62"/>
    <w:rsid w:val="00F24DB4"/>
    <w:rsid w:val="00FA7EE1"/>
    <w:rsid w:val="00FB7658"/>
    <w:rsid w:val="00FC0C50"/>
    <w:rsid w:val="00FD0138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28B9F-DC16-423F-865D-9CADB6DB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145C"/>
    <w:pPr>
      <w:keepNext/>
      <w:keepLines/>
      <w:numPr>
        <w:numId w:val="4"/>
      </w:numPr>
      <w:spacing w:before="240" w:after="0"/>
      <w:ind w:left="284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7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B7658"/>
    <w:pPr>
      <w:ind w:left="720"/>
      <w:contextualSpacing/>
    </w:pPr>
  </w:style>
  <w:style w:type="paragraph" w:customStyle="1" w:styleId="Default">
    <w:name w:val="Default"/>
    <w:rsid w:val="00643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145C"/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0CB"/>
  </w:style>
  <w:style w:type="paragraph" w:styleId="Zpat">
    <w:name w:val="footer"/>
    <w:basedOn w:val="Normln"/>
    <w:link w:val="Zpat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0CB"/>
  </w:style>
  <w:style w:type="paragraph" w:styleId="Normlnweb">
    <w:name w:val="Normal (Web)"/>
    <w:basedOn w:val="Normln"/>
    <w:uiPriority w:val="99"/>
    <w:unhideWhenUsed/>
    <w:rsid w:val="00471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61C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tNormln">
    <w:name w:val="mntNormální"/>
    <w:rsid w:val="006962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ar-SA"/>
    </w:rPr>
  </w:style>
  <w:style w:type="paragraph" w:customStyle="1" w:styleId="western">
    <w:name w:val="western"/>
    <w:basedOn w:val="Normln"/>
    <w:rsid w:val="00696215"/>
    <w:pPr>
      <w:suppressAutoHyphens/>
      <w:spacing w:before="280" w:after="28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696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96215"/>
    <w:pPr>
      <w:spacing w:after="120"/>
    </w:pPr>
  </w:style>
  <w:style w:type="character" w:customStyle="1" w:styleId="FontStyle61">
    <w:name w:val="Font Style61"/>
    <w:uiPriority w:val="99"/>
    <w:rsid w:val="000A3EA3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rsid w:val="000A3E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3EA3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B19A-CD40-44E5-AF33-40B45608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1875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Patočka</dc:creator>
  <cp:lastModifiedBy>Petr Valenta</cp:lastModifiedBy>
  <cp:revision>7</cp:revision>
  <cp:lastPrinted>2018-01-18T06:05:00Z</cp:lastPrinted>
  <dcterms:created xsi:type="dcterms:W3CDTF">2018-01-16T08:55:00Z</dcterms:created>
  <dcterms:modified xsi:type="dcterms:W3CDTF">2018-01-18T06:24:00Z</dcterms:modified>
</cp:coreProperties>
</file>